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5" w:rsidRDefault="00456185" w:rsidP="00456185">
      <w:pPr>
        <w:jc w:val="right"/>
      </w:pPr>
      <w:r w:rsidRPr="00E172A5">
        <w:t>Приложение 1.</w:t>
      </w:r>
    </w:p>
    <w:p w:rsidR="001060F2" w:rsidRPr="00B75452" w:rsidRDefault="001060F2" w:rsidP="007503BC">
      <w:pPr>
        <w:pStyle w:val="a7"/>
        <w:numPr>
          <w:ilvl w:val="0"/>
          <w:numId w:val="4"/>
        </w:numPr>
        <w:jc w:val="center"/>
        <w:rPr>
          <w:b/>
        </w:rPr>
      </w:pPr>
      <w:r w:rsidRPr="00B75452">
        <w:rPr>
          <w:b/>
        </w:rPr>
        <w:t>Исходные данные</w:t>
      </w:r>
    </w:p>
    <w:p w:rsidR="00664F46" w:rsidRPr="00B75452" w:rsidRDefault="00664F46" w:rsidP="001060F2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1060F2" w:rsidRPr="00B75452" w:rsidTr="00236310">
        <w:tc>
          <w:tcPr>
            <w:tcW w:w="3369" w:type="dxa"/>
            <w:shd w:val="clear" w:color="auto" w:fill="auto"/>
            <w:vAlign w:val="center"/>
          </w:tcPr>
          <w:p w:rsidR="001060F2" w:rsidRPr="00B75452" w:rsidRDefault="001060F2" w:rsidP="001060F2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</w:pPr>
            <w:r w:rsidRPr="00B75452">
              <w:t>Скважина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60F2" w:rsidRPr="00B75452" w:rsidRDefault="0074342A" w:rsidP="0074342A">
            <w:pPr>
              <w:autoSpaceDE w:val="0"/>
              <w:autoSpaceDN w:val="0"/>
              <w:adjustRightInd w:val="0"/>
            </w:pPr>
            <w:r w:rsidRPr="00B75452">
              <w:t>Водозаборная скважина №3</w:t>
            </w:r>
            <w:r w:rsidR="001060F2" w:rsidRPr="00B75452">
              <w:t xml:space="preserve"> на </w:t>
            </w:r>
            <w:r w:rsidRPr="00B75452">
              <w:t xml:space="preserve">Известинском </w:t>
            </w:r>
            <w:r w:rsidR="001060F2" w:rsidRPr="00B75452">
              <w:t>месторождении</w:t>
            </w:r>
            <w:r w:rsidRPr="00B75452">
              <w:t>.</w:t>
            </w:r>
          </w:p>
          <w:p w:rsidR="0074342A" w:rsidRPr="00B75452" w:rsidRDefault="0074342A" w:rsidP="0074342A">
            <w:pPr>
              <w:autoSpaceDE w:val="0"/>
              <w:autoSpaceDN w:val="0"/>
              <w:adjustRightInd w:val="0"/>
            </w:pPr>
            <w:r w:rsidRPr="00B75452">
              <w:t>Глубина</w:t>
            </w:r>
            <w:r w:rsidR="00F261B3" w:rsidRPr="00B75452">
              <w:t xml:space="preserve"> 140м</w:t>
            </w:r>
          </w:p>
          <w:p w:rsidR="0074342A" w:rsidRPr="00B75452" w:rsidRDefault="0074342A" w:rsidP="0074342A">
            <w:pPr>
              <w:autoSpaceDE w:val="0"/>
              <w:autoSpaceDN w:val="0"/>
              <w:adjustRightInd w:val="0"/>
            </w:pPr>
            <w:r w:rsidRPr="00B75452">
              <w:t>Эксплуатационная колонна</w:t>
            </w:r>
            <w:r w:rsidR="00F261B3" w:rsidRPr="00B75452">
              <w:t xml:space="preserve"> 324х245х168</w:t>
            </w:r>
          </w:p>
          <w:p w:rsidR="0074342A" w:rsidRPr="00B75452" w:rsidRDefault="0058608A" w:rsidP="0074342A">
            <w:pPr>
              <w:autoSpaceDE w:val="0"/>
              <w:autoSpaceDN w:val="0"/>
              <w:adjustRightInd w:val="0"/>
            </w:pPr>
            <w:r w:rsidRPr="00B75452">
              <w:t>Интервал вскрытия водоносного горизонта</w:t>
            </w:r>
            <w:r w:rsidR="00F261B3" w:rsidRPr="00B75452">
              <w:t xml:space="preserve"> </w:t>
            </w:r>
            <w:r w:rsidR="00B7763E" w:rsidRPr="00B75452">
              <w:t>110</w:t>
            </w:r>
            <w:r w:rsidR="00186899" w:rsidRPr="00B75452">
              <w:t>-</w:t>
            </w:r>
            <w:r w:rsidR="00B7763E" w:rsidRPr="00B75452">
              <w:t>13</w:t>
            </w:r>
            <w:r w:rsidR="00F261B3" w:rsidRPr="00B75452">
              <w:t>0</w:t>
            </w:r>
            <w:r w:rsidR="00186899" w:rsidRPr="00B75452">
              <w:t>м</w:t>
            </w:r>
          </w:p>
          <w:p w:rsidR="00F261B3" w:rsidRPr="00B75452" w:rsidRDefault="00F261B3" w:rsidP="0074342A">
            <w:pPr>
              <w:autoSpaceDE w:val="0"/>
              <w:autoSpaceDN w:val="0"/>
              <w:adjustRightInd w:val="0"/>
            </w:pPr>
            <w:r w:rsidRPr="00B75452">
              <w:t>Год ввода в эксплуатацию 2001</w:t>
            </w:r>
          </w:p>
        </w:tc>
      </w:tr>
      <w:tr w:rsidR="001060F2" w:rsidRPr="00B75452" w:rsidTr="00236310">
        <w:tc>
          <w:tcPr>
            <w:tcW w:w="3369" w:type="dxa"/>
            <w:shd w:val="clear" w:color="auto" w:fill="auto"/>
            <w:vAlign w:val="center"/>
          </w:tcPr>
          <w:p w:rsidR="001060F2" w:rsidRPr="00B75452" w:rsidRDefault="0074342A" w:rsidP="0074342A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B75452">
              <w:t>Спущенное оборудование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7087" w:rsidRPr="00B75452" w:rsidRDefault="002D7087" w:rsidP="00A475C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5452">
              <w:rPr>
                <w:color w:val="000000" w:themeColor="text1"/>
              </w:rPr>
              <w:t xml:space="preserve">НКТ 73мм </w:t>
            </w:r>
            <w:r w:rsidR="001C3639" w:rsidRPr="00B75452">
              <w:rPr>
                <w:color w:val="000000" w:themeColor="text1"/>
              </w:rPr>
              <w:t>40метров</w:t>
            </w:r>
          </w:p>
          <w:p w:rsidR="001060F2" w:rsidRPr="00B75452" w:rsidRDefault="001C3639" w:rsidP="00A475C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75452">
              <w:rPr>
                <w:color w:val="000000" w:themeColor="text1"/>
              </w:rPr>
              <w:t>ЭЦВ5-4-100</w:t>
            </w:r>
          </w:p>
          <w:p w:rsidR="000D0DB3" w:rsidRPr="00B75452" w:rsidRDefault="000D0DB3" w:rsidP="00A475C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75452">
              <w:rPr>
                <w:color w:val="000000" w:themeColor="text1"/>
              </w:rPr>
              <w:t>Технические характеристики насоса ЭЦВ 5-4-100: - Номинальная подача (производительность), м3/ч: 4 - Номинальный напор, м: 100 - Тип электродвигателя: ПЭДВ 5-3 - Мощность, кВт: 3 - Количество ступеней: 15 - Диаметр насоса: 5 " (120 мм.) Конструкция погружного насоса ЭЦВ</w:t>
            </w:r>
            <w:proofErr w:type="gramStart"/>
            <w:r w:rsidRPr="00B75452">
              <w:rPr>
                <w:color w:val="000000" w:themeColor="text1"/>
              </w:rPr>
              <w:t xml:space="preserve"> :</w:t>
            </w:r>
            <w:proofErr w:type="gramEnd"/>
            <w:r w:rsidRPr="00B75452">
              <w:rPr>
                <w:color w:val="000000" w:themeColor="text1"/>
              </w:rPr>
              <w:t xml:space="preserve"> агрегат состоит из центробежного насоса и электродвигателя.</w:t>
            </w:r>
          </w:p>
        </w:tc>
      </w:tr>
      <w:tr w:rsidR="00186899" w:rsidRPr="00B75452" w:rsidTr="00236310">
        <w:tc>
          <w:tcPr>
            <w:tcW w:w="3369" w:type="dxa"/>
            <w:shd w:val="clear" w:color="auto" w:fill="auto"/>
            <w:vAlign w:val="center"/>
          </w:tcPr>
          <w:p w:rsidR="00186899" w:rsidRPr="00B75452" w:rsidRDefault="00186899" w:rsidP="0058608A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B75452">
              <w:t>Наземная арматура скважины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86899" w:rsidRPr="00B75452" w:rsidRDefault="001C3639" w:rsidP="001868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75452">
              <w:rPr>
                <w:color w:val="000000" w:themeColor="text1"/>
              </w:rPr>
              <w:t>Труба Ф57мм. Фланцы 50\16</w:t>
            </w:r>
          </w:p>
        </w:tc>
      </w:tr>
      <w:tr w:rsidR="001060F2" w:rsidRPr="00B75452" w:rsidTr="00236310">
        <w:tc>
          <w:tcPr>
            <w:tcW w:w="3369" w:type="dxa"/>
            <w:shd w:val="clear" w:color="auto" w:fill="auto"/>
            <w:vAlign w:val="center"/>
          </w:tcPr>
          <w:p w:rsidR="001060F2" w:rsidRPr="00B75452" w:rsidRDefault="0074342A" w:rsidP="0058608A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B75452">
              <w:t>Целевое значение скважины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60F2" w:rsidRPr="00B75452" w:rsidRDefault="00EA4019" w:rsidP="00186899">
            <w:pPr>
              <w:autoSpaceDE w:val="0"/>
              <w:autoSpaceDN w:val="0"/>
              <w:adjustRightInd w:val="0"/>
            </w:pPr>
            <w:r w:rsidRPr="00EA4019">
              <w:t>Питьевое и техническое водоснабжение</w:t>
            </w:r>
          </w:p>
        </w:tc>
      </w:tr>
      <w:tr w:rsidR="001060F2" w:rsidRPr="00B75452" w:rsidTr="00236310">
        <w:tc>
          <w:tcPr>
            <w:tcW w:w="3369" w:type="dxa"/>
            <w:shd w:val="clear" w:color="auto" w:fill="auto"/>
            <w:vAlign w:val="center"/>
          </w:tcPr>
          <w:p w:rsidR="001060F2" w:rsidRPr="00B75452" w:rsidRDefault="0058608A" w:rsidP="00186899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B75452">
              <w:t>Химический состав воды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60F2" w:rsidRPr="00B75452" w:rsidRDefault="0058608A" w:rsidP="00A475C9">
            <w:pPr>
              <w:autoSpaceDE w:val="0"/>
              <w:autoSpaceDN w:val="0"/>
              <w:adjustRightInd w:val="0"/>
            </w:pPr>
            <w:r w:rsidRPr="00B75452">
              <w:t>Приложение 2</w:t>
            </w:r>
          </w:p>
        </w:tc>
      </w:tr>
    </w:tbl>
    <w:p w:rsidR="00A475C9" w:rsidRPr="00B75452" w:rsidRDefault="00A475C9" w:rsidP="002331A0">
      <w:pPr>
        <w:jc w:val="center"/>
      </w:pPr>
    </w:p>
    <w:p w:rsidR="007503BC" w:rsidRPr="00B75452" w:rsidRDefault="007503BC" w:rsidP="007503BC">
      <w:pPr>
        <w:pStyle w:val="a7"/>
        <w:numPr>
          <w:ilvl w:val="0"/>
          <w:numId w:val="11"/>
        </w:numPr>
        <w:tabs>
          <w:tab w:val="left" w:pos="142"/>
        </w:tabs>
        <w:jc w:val="center"/>
        <w:outlineLvl w:val="0"/>
        <w:rPr>
          <w:b/>
        </w:rPr>
      </w:pPr>
      <w:bookmarkStart w:id="0" w:name="_Toc6178292"/>
      <w:r w:rsidRPr="00B75452">
        <w:rPr>
          <w:b/>
        </w:rPr>
        <w:t>Наименование и назначение изделия</w:t>
      </w:r>
      <w:bookmarkEnd w:id="0"/>
    </w:p>
    <w:p w:rsidR="007503BC" w:rsidRPr="00B75452" w:rsidRDefault="007503BC" w:rsidP="007503BC">
      <w:pPr>
        <w:tabs>
          <w:tab w:val="left" w:pos="142"/>
          <w:tab w:val="left" w:pos="567"/>
        </w:tabs>
        <w:ind w:left="-142" w:right="-1" w:firstLine="851"/>
        <w:rPr>
          <w:spacing w:val="-3"/>
        </w:rPr>
      </w:pPr>
    </w:p>
    <w:p w:rsidR="007503BC" w:rsidRPr="00B75452" w:rsidRDefault="00B75452" w:rsidP="00B75452">
      <w:pPr>
        <w:tabs>
          <w:tab w:val="left" w:pos="142"/>
          <w:tab w:val="left" w:pos="567"/>
        </w:tabs>
        <w:ind w:right="-1" w:firstLine="567"/>
        <w:jc w:val="both"/>
        <w:rPr>
          <w:spacing w:val="-3"/>
        </w:rPr>
      </w:pPr>
      <w:r w:rsidRPr="00B75452">
        <w:rPr>
          <w:spacing w:val="-3"/>
        </w:rPr>
        <w:t>2.1</w:t>
      </w:r>
      <w:r w:rsidR="007503BC" w:rsidRPr="00B75452">
        <w:rPr>
          <w:spacing w:val="-3"/>
        </w:rPr>
        <w:t xml:space="preserve">. Наименование: станция насосная над </w:t>
      </w:r>
      <w:proofErr w:type="spellStart"/>
      <w:r w:rsidR="007503BC" w:rsidRPr="00B75452">
        <w:rPr>
          <w:spacing w:val="-3"/>
        </w:rPr>
        <w:t>артскважиной</w:t>
      </w:r>
      <w:proofErr w:type="spellEnd"/>
      <w:r w:rsidRPr="00B75452">
        <w:rPr>
          <w:spacing w:val="-3"/>
        </w:rPr>
        <w:t xml:space="preserve"> совместно со станцией  водоподготовки</w:t>
      </w:r>
      <w:r w:rsidR="00D71190">
        <w:rPr>
          <w:spacing w:val="-3"/>
        </w:rPr>
        <w:t xml:space="preserve"> воды</w:t>
      </w:r>
      <w:r w:rsidRPr="00B75452">
        <w:rPr>
          <w:spacing w:val="-3"/>
        </w:rPr>
        <w:t xml:space="preserve">. </w:t>
      </w:r>
    </w:p>
    <w:p w:rsidR="007503BC" w:rsidRPr="00B75452" w:rsidRDefault="00B75452" w:rsidP="00B75452">
      <w:pPr>
        <w:tabs>
          <w:tab w:val="left" w:pos="142"/>
          <w:tab w:val="left" w:pos="567"/>
        </w:tabs>
        <w:ind w:left="-142" w:right="-1" w:firstLine="709"/>
        <w:jc w:val="both"/>
        <w:rPr>
          <w:spacing w:val="-3"/>
        </w:rPr>
      </w:pPr>
      <w:r w:rsidRPr="00B75452">
        <w:rPr>
          <w:spacing w:val="-3"/>
        </w:rPr>
        <w:t>2.</w:t>
      </w:r>
      <w:r w:rsidR="007503BC" w:rsidRPr="00B75452">
        <w:rPr>
          <w:spacing w:val="-3"/>
        </w:rPr>
        <w:t xml:space="preserve">2. </w:t>
      </w:r>
      <w:r w:rsidRPr="00B75452">
        <w:rPr>
          <w:spacing w:val="-3"/>
        </w:rPr>
        <w:t xml:space="preserve"> </w:t>
      </w:r>
      <w:r w:rsidR="007503BC" w:rsidRPr="00B75452">
        <w:rPr>
          <w:spacing w:val="-3"/>
        </w:rPr>
        <w:t>Назначение: для откачк</w:t>
      </w:r>
      <w:r w:rsidRPr="00B75452">
        <w:rPr>
          <w:spacing w:val="-3"/>
        </w:rPr>
        <w:t>и воды из артезианской скважины, снижения содержания в исходной воде негативных веществ до требований СанПиН с последующим ис</w:t>
      </w:r>
      <w:r w:rsidR="00C13D5E">
        <w:rPr>
          <w:spacing w:val="-3"/>
        </w:rPr>
        <w:t xml:space="preserve">пользованием до </w:t>
      </w:r>
      <w:r w:rsidRPr="00B75452">
        <w:rPr>
          <w:spacing w:val="-3"/>
        </w:rPr>
        <w:t xml:space="preserve">питьевых нужд </w:t>
      </w:r>
      <w:r w:rsidR="007503BC" w:rsidRPr="00B75452">
        <w:rPr>
          <w:spacing w:val="-3"/>
        </w:rPr>
        <w:t>и подачи ее потребителям.</w:t>
      </w:r>
    </w:p>
    <w:p w:rsidR="007503BC" w:rsidRPr="00B75452" w:rsidRDefault="007503BC" w:rsidP="007503BC">
      <w:pPr>
        <w:keepNext/>
        <w:ind w:left="284" w:right="141" w:firstLine="283"/>
      </w:pPr>
    </w:p>
    <w:p w:rsidR="007503BC" w:rsidRPr="00B75452" w:rsidRDefault="007503BC" w:rsidP="00B75452">
      <w:pPr>
        <w:pStyle w:val="a7"/>
        <w:numPr>
          <w:ilvl w:val="0"/>
          <w:numId w:val="11"/>
        </w:numPr>
        <w:tabs>
          <w:tab w:val="left" w:pos="142"/>
        </w:tabs>
        <w:spacing w:line="360" w:lineRule="auto"/>
        <w:jc w:val="center"/>
        <w:outlineLvl w:val="0"/>
      </w:pPr>
      <w:bookmarkStart w:id="1" w:name="_Toc6178293"/>
      <w:r w:rsidRPr="00B75452">
        <w:rPr>
          <w:b/>
          <w:bCs/>
        </w:rPr>
        <w:t>Общие технические требования к установке</w:t>
      </w:r>
      <w:bookmarkEnd w:id="1"/>
    </w:p>
    <w:p w:rsidR="007503BC" w:rsidRPr="00B75452" w:rsidRDefault="007503BC" w:rsidP="007503BC">
      <w:pPr>
        <w:tabs>
          <w:tab w:val="left" w:pos="142"/>
          <w:tab w:val="left" w:pos="567"/>
        </w:tabs>
        <w:ind w:left="-142" w:right="-1" w:firstLine="851"/>
        <w:rPr>
          <w:spacing w:val="-3"/>
        </w:rPr>
      </w:pPr>
      <w:r w:rsidRPr="00B75452">
        <w:rPr>
          <w:spacing w:val="-3"/>
        </w:rPr>
        <w:t>Насосная станция заводской готовности и комплектности должна соответствовать техническим параметрам, представленным в таблице 1.</w:t>
      </w:r>
    </w:p>
    <w:p w:rsidR="007503BC" w:rsidRPr="00B75452" w:rsidRDefault="007503BC" w:rsidP="007503BC">
      <w:pPr>
        <w:keepNext/>
        <w:ind w:left="-142"/>
        <w:rPr>
          <w:bCs/>
        </w:rPr>
      </w:pPr>
      <w:r w:rsidRPr="00B75452">
        <w:rPr>
          <w:bCs/>
        </w:rPr>
        <w:t>Таблица 1</w:t>
      </w:r>
      <w:r w:rsidRPr="00B75452">
        <w:rPr>
          <w:bCs/>
          <w:lang w:val="en-US"/>
        </w:rPr>
        <w:t xml:space="preserve"> -</w:t>
      </w:r>
      <w:r w:rsidRPr="00B75452">
        <w:rPr>
          <w:bCs/>
        </w:rPr>
        <w:t xml:space="preserve"> Технические характеристики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4000"/>
      </w:tblGrid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pPr>
              <w:ind w:left="284" w:firstLine="283"/>
              <w:jc w:val="center"/>
              <w:rPr>
                <w:b/>
              </w:rPr>
            </w:pPr>
            <w:r w:rsidRPr="00B75452">
              <w:rPr>
                <w:b/>
              </w:rPr>
              <w:t>Параметры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ind w:left="284" w:firstLine="283"/>
              <w:jc w:val="center"/>
              <w:rPr>
                <w:b/>
              </w:rPr>
            </w:pPr>
            <w:r w:rsidRPr="00B75452">
              <w:rPr>
                <w:b/>
              </w:rPr>
              <w:t>Значение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Место расположения объекта, где установлен аппарат (город, район)</w:t>
            </w:r>
          </w:p>
        </w:tc>
        <w:tc>
          <w:tcPr>
            <w:tcW w:w="4000" w:type="dxa"/>
            <w:shd w:val="clear" w:color="auto" w:fill="auto"/>
          </w:tcPr>
          <w:p w:rsidR="00B75452" w:rsidRPr="00B75452" w:rsidRDefault="00B75452" w:rsidP="00B75452">
            <w:r w:rsidRPr="00B75452">
              <w:t>Известинско</w:t>
            </w:r>
            <w:r>
              <w:t>е</w:t>
            </w:r>
            <w:r w:rsidRPr="00B75452">
              <w:t xml:space="preserve"> месторождени</w:t>
            </w:r>
            <w:r>
              <w:t>е</w:t>
            </w:r>
            <w:r w:rsidR="007503BC" w:rsidRPr="00B75452">
              <w:t xml:space="preserve">, Ямало-Ненецкий автономный округ, </w:t>
            </w:r>
          </w:p>
          <w:p w:rsidR="007503BC" w:rsidRPr="00B75452" w:rsidRDefault="00B75452" w:rsidP="00540C9E">
            <w:r>
              <w:t>г</w:t>
            </w:r>
            <w:r w:rsidR="007503BC" w:rsidRPr="00B75452">
              <w:t>. Губкинский.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Средняя температура наиболее холодной пятидневки района, с обеспеченностью 92%, °</w:t>
            </w:r>
            <w:proofErr w:type="gramStart"/>
            <w:r w:rsidRPr="00B75452">
              <w:t>С</w:t>
            </w:r>
            <w:proofErr w:type="gramEnd"/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минус 47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Средняя температура наиболее холодных суток, с обеспеченностью 98%, °</w:t>
            </w:r>
            <w:proofErr w:type="gramStart"/>
            <w:r w:rsidRPr="00B75452">
              <w:t>С</w:t>
            </w:r>
            <w:proofErr w:type="gramEnd"/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минус 54</w:t>
            </w:r>
          </w:p>
        </w:tc>
      </w:tr>
      <w:tr w:rsidR="007503BC" w:rsidRPr="00B75452" w:rsidTr="00540C9E">
        <w:tc>
          <w:tcPr>
            <w:tcW w:w="3085" w:type="dxa"/>
            <w:vMerge w:val="restart"/>
          </w:tcPr>
          <w:p w:rsidR="007503BC" w:rsidRPr="00B75452" w:rsidRDefault="007503BC" w:rsidP="00540C9E">
            <w:r w:rsidRPr="00B75452">
              <w:t>Температура окружающего воздуха, °</w:t>
            </w:r>
            <w:proofErr w:type="gramStart"/>
            <w:r w:rsidRPr="00B75452">
              <w:t>С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503BC" w:rsidRPr="00B75452" w:rsidRDefault="007503BC" w:rsidP="00540C9E">
            <w:proofErr w:type="spellStart"/>
            <w:r w:rsidRPr="00B75452">
              <w:t>min</w:t>
            </w:r>
            <w:proofErr w:type="spellEnd"/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минус 55</w:t>
            </w:r>
          </w:p>
        </w:tc>
      </w:tr>
      <w:tr w:rsidR="007503BC" w:rsidRPr="00B75452" w:rsidTr="00540C9E">
        <w:tc>
          <w:tcPr>
            <w:tcW w:w="3085" w:type="dxa"/>
            <w:vMerge/>
          </w:tcPr>
          <w:p w:rsidR="007503BC" w:rsidRPr="00B75452" w:rsidRDefault="007503BC" w:rsidP="00540C9E"/>
        </w:tc>
        <w:tc>
          <w:tcPr>
            <w:tcW w:w="2410" w:type="dxa"/>
            <w:shd w:val="clear" w:color="auto" w:fill="auto"/>
          </w:tcPr>
          <w:p w:rsidR="007503BC" w:rsidRPr="00B75452" w:rsidRDefault="007503BC" w:rsidP="00540C9E">
            <w:proofErr w:type="spellStart"/>
            <w:r w:rsidRPr="00B75452">
              <w:t>max</w:t>
            </w:r>
            <w:proofErr w:type="spellEnd"/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плюс 36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Сейсмичность района строительства по СП 14.13330.2014, не более, баллов</w:t>
            </w:r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5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Ветровая нагрузка, кПа (кгс/м</w:t>
            </w:r>
            <w:proofErr w:type="gramStart"/>
            <w:r w:rsidRPr="00B75452">
              <w:rPr>
                <w:vertAlign w:val="superscript"/>
              </w:rPr>
              <w:t>2</w:t>
            </w:r>
            <w:proofErr w:type="gramEnd"/>
            <w:r w:rsidRPr="00B75452">
              <w:t>)</w:t>
            </w:r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0,23 (23)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Район по ветровой нагрузке по СП 20.13330.2016</w:t>
            </w:r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I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t>Нормативная снеговая нагрузка, кПа (кгс/м</w:t>
            </w:r>
            <w:proofErr w:type="gramStart"/>
            <w:r w:rsidRPr="00B75452">
              <w:rPr>
                <w:vertAlign w:val="superscript"/>
              </w:rPr>
              <w:t>2</w:t>
            </w:r>
            <w:proofErr w:type="gramEnd"/>
            <w:r w:rsidRPr="00B75452">
              <w:t>)</w:t>
            </w:r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2,5 (250)</w:t>
            </w:r>
          </w:p>
        </w:tc>
      </w:tr>
      <w:tr w:rsidR="007503BC" w:rsidRPr="00B75452" w:rsidTr="00540C9E">
        <w:tc>
          <w:tcPr>
            <w:tcW w:w="5495" w:type="dxa"/>
            <w:gridSpan w:val="2"/>
            <w:shd w:val="clear" w:color="auto" w:fill="auto"/>
          </w:tcPr>
          <w:p w:rsidR="007503BC" w:rsidRPr="00B75452" w:rsidRDefault="007503BC" w:rsidP="00540C9E">
            <w:r w:rsidRPr="00B75452">
              <w:lastRenderedPageBreak/>
              <w:t>Снеговой район по СП 20.13330.2016</w:t>
            </w:r>
          </w:p>
        </w:tc>
        <w:tc>
          <w:tcPr>
            <w:tcW w:w="4000" w:type="dxa"/>
            <w:shd w:val="clear" w:color="auto" w:fill="auto"/>
          </w:tcPr>
          <w:p w:rsidR="007503BC" w:rsidRPr="00B75452" w:rsidRDefault="007503BC" w:rsidP="00540C9E">
            <w:r w:rsidRPr="00B75452">
              <w:t>V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Тип насосного агрегата 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rPr>
                <w:color w:val="000000" w:themeColor="text1"/>
                <w:highlight w:val="yellow"/>
              </w:rPr>
            </w:pPr>
            <w:r w:rsidRPr="00B75452">
              <w:rPr>
                <w:color w:val="000000" w:themeColor="text1"/>
              </w:rPr>
              <w:t xml:space="preserve">                     </w:t>
            </w:r>
            <w:r w:rsidR="00B75452" w:rsidRPr="00B75452">
              <w:rPr>
                <w:color w:val="000000" w:themeColor="text1"/>
              </w:rPr>
              <w:t xml:space="preserve"> ЭЦВ 5-4-100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Количество насосов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  <w:rPr>
                <w:color w:val="000000" w:themeColor="text1"/>
              </w:rPr>
            </w:pPr>
            <w:r w:rsidRPr="00B75452">
              <w:rPr>
                <w:color w:val="000000" w:themeColor="text1"/>
              </w:rPr>
              <w:t>1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Подача максимальная, м</w:t>
            </w:r>
            <w:r w:rsidRPr="00B75452">
              <w:rPr>
                <w:vertAlign w:val="superscript"/>
              </w:rPr>
              <w:t>3</w:t>
            </w:r>
            <w:r w:rsidRPr="00B75452">
              <w:t>/час</w:t>
            </w:r>
          </w:p>
        </w:tc>
        <w:tc>
          <w:tcPr>
            <w:tcW w:w="4000" w:type="dxa"/>
          </w:tcPr>
          <w:p w:rsidR="007503BC" w:rsidRPr="00B75452" w:rsidRDefault="00B75452" w:rsidP="00B75452">
            <w:pPr>
              <w:jc w:val="center"/>
              <w:rPr>
                <w:color w:val="000000" w:themeColor="text1"/>
              </w:rPr>
            </w:pPr>
            <w:r w:rsidRPr="00B75452">
              <w:rPr>
                <w:color w:val="000000" w:themeColor="text1"/>
              </w:rPr>
              <w:t>4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Напор максимальный, </w:t>
            </w:r>
            <w:proofErr w:type="gramStart"/>
            <w:r w:rsidRPr="00B75452">
              <w:t>м</w:t>
            </w:r>
            <w:proofErr w:type="gramEnd"/>
          </w:p>
        </w:tc>
        <w:tc>
          <w:tcPr>
            <w:tcW w:w="4000" w:type="dxa"/>
          </w:tcPr>
          <w:p w:rsidR="007503BC" w:rsidRPr="00B75452" w:rsidRDefault="00B75452" w:rsidP="00540C9E">
            <w:pPr>
              <w:jc w:val="center"/>
              <w:rPr>
                <w:color w:val="000000" w:themeColor="text1"/>
              </w:rPr>
            </w:pPr>
            <w:r w:rsidRPr="00B75452">
              <w:rPr>
                <w:color w:val="000000" w:themeColor="text1"/>
              </w:rPr>
              <w:t>100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Мощность электродвигателя, кВт</w:t>
            </w:r>
          </w:p>
        </w:tc>
        <w:tc>
          <w:tcPr>
            <w:tcW w:w="4000" w:type="dxa"/>
          </w:tcPr>
          <w:p w:rsidR="007503BC" w:rsidRPr="00B75452" w:rsidRDefault="00B75452" w:rsidP="00540C9E">
            <w:pPr>
              <w:jc w:val="center"/>
              <w:rPr>
                <w:color w:val="000000" w:themeColor="text1"/>
                <w:highlight w:val="yellow"/>
              </w:rPr>
            </w:pPr>
            <w:r w:rsidRPr="00B75452">
              <w:rPr>
                <w:color w:val="000000" w:themeColor="text1"/>
              </w:rPr>
              <w:t>3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Транспортируемая среда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r w:rsidRPr="00B75452">
              <w:t>вода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Категория надежности</w:t>
            </w:r>
            <w:r w:rsidRPr="00B75452">
              <w:rPr>
                <w:lang w:val="en-US"/>
              </w:rPr>
              <w:t xml:space="preserve"> </w:t>
            </w:r>
            <w:r w:rsidRPr="00B75452">
              <w:t>насосной станции</w:t>
            </w:r>
          </w:p>
        </w:tc>
        <w:tc>
          <w:tcPr>
            <w:tcW w:w="4000" w:type="dxa"/>
          </w:tcPr>
          <w:p w:rsidR="007503BC" w:rsidRPr="004D1D05" w:rsidRDefault="007503BC" w:rsidP="00540C9E">
            <w:pPr>
              <w:jc w:val="center"/>
            </w:pPr>
            <w:r w:rsidRPr="00B75452">
              <w:rPr>
                <w:lang w:val="en-US"/>
              </w:rPr>
              <w:t>I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Категория помещения </w:t>
            </w:r>
          </w:p>
          <w:p w:rsidR="007503BC" w:rsidRPr="00B75452" w:rsidRDefault="007503BC" w:rsidP="00540C9E">
            <w:r w:rsidRPr="00B75452">
              <w:t>Федеральный закон от 22 июля 2008г. № 123-ФЗ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r w:rsidRPr="00B75452">
              <w:t>Д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Степень огнестойкости здания </w:t>
            </w:r>
          </w:p>
          <w:p w:rsidR="007503BC" w:rsidRPr="00B75452" w:rsidRDefault="007503BC" w:rsidP="00540C9E">
            <w:r w:rsidRPr="00B75452">
              <w:t>Федеральный закон от 22 июля 2008г. № 123-ФЗ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  <w:rPr>
                <w:highlight w:val="yellow"/>
                <w:lang w:val="en-US"/>
              </w:rPr>
            </w:pPr>
            <w:r w:rsidRPr="00B75452">
              <w:rPr>
                <w:lang w:val="en-US"/>
              </w:rPr>
              <w:t>IV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Класс конструктивной пожарной опасности здания </w:t>
            </w:r>
          </w:p>
          <w:p w:rsidR="007503BC" w:rsidRPr="00B75452" w:rsidRDefault="007503BC" w:rsidP="00540C9E">
            <w:r w:rsidRPr="00B75452">
              <w:t xml:space="preserve">по </w:t>
            </w:r>
            <w:proofErr w:type="gramStart"/>
            <w:r w:rsidRPr="00B75452">
              <w:rPr>
                <w:lang w:val="en-US"/>
              </w:rPr>
              <w:t>C</w:t>
            </w:r>
            <w:proofErr w:type="spellStart"/>
            <w:proofErr w:type="gramEnd"/>
            <w:r w:rsidRPr="00B75452">
              <w:t>НиП</w:t>
            </w:r>
            <w:proofErr w:type="spellEnd"/>
            <w:r w:rsidRPr="00B75452">
              <w:t xml:space="preserve"> 31-03-2001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  <w:rPr>
                <w:highlight w:val="yellow"/>
              </w:rPr>
            </w:pPr>
            <w:r w:rsidRPr="00B75452">
              <w:rPr>
                <w:lang w:val="en-US"/>
              </w:rPr>
              <w:t>C</w:t>
            </w:r>
            <w:r w:rsidRPr="00B75452">
              <w:t>0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Расчетное значение веса снегового покрова, кПа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r w:rsidRPr="00B75452">
              <w:t>3,2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Нормативное значение ветрового давления, кПа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r w:rsidRPr="00B75452">
              <w:t>0,23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Температура воздуха наиболее холодных суток, °С, обеспеченностью 0,98</w:t>
            </w:r>
          </w:p>
        </w:tc>
        <w:tc>
          <w:tcPr>
            <w:tcW w:w="4000" w:type="dxa"/>
            <w:vAlign w:val="center"/>
          </w:tcPr>
          <w:p w:rsidR="007503BC" w:rsidRPr="00B75452" w:rsidRDefault="007503BC" w:rsidP="00540C9E">
            <w:pPr>
              <w:jc w:val="center"/>
            </w:pPr>
            <w:r w:rsidRPr="00B75452">
              <w:t>минус 53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 xml:space="preserve">Габаритные размеры здания, </w:t>
            </w:r>
            <w:proofErr w:type="gramStart"/>
            <w:r w:rsidRPr="00B75452">
              <w:t>мм</w:t>
            </w:r>
            <w:proofErr w:type="gramEnd"/>
          </w:p>
          <w:p w:rsidR="007503BC" w:rsidRPr="00B75452" w:rsidRDefault="007503BC" w:rsidP="00540C9E">
            <w:r w:rsidRPr="00B75452">
              <w:t xml:space="preserve">Длина </w:t>
            </w:r>
          </w:p>
          <w:p w:rsidR="007503BC" w:rsidRPr="00B75452" w:rsidRDefault="007503BC" w:rsidP="00540C9E">
            <w:r w:rsidRPr="00B75452">
              <w:t>Ширина</w:t>
            </w:r>
          </w:p>
          <w:p w:rsidR="007503BC" w:rsidRPr="00B75452" w:rsidRDefault="007503BC" w:rsidP="00540C9E">
            <w:r w:rsidRPr="00B75452">
              <w:t xml:space="preserve">Высота 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</w:p>
          <w:p w:rsidR="007503BC" w:rsidRPr="00B75452" w:rsidRDefault="00236310" w:rsidP="00C13D5E">
            <w:pPr>
              <w:jc w:val="center"/>
            </w:pPr>
            <w:r>
              <w:t>Определяется с учетом размещения оборудования</w:t>
            </w:r>
            <w:r w:rsidR="00C13D5E">
              <w:t xml:space="preserve">.  </w:t>
            </w:r>
            <w:r w:rsidR="00C13D5E" w:rsidRPr="00C13D5E">
              <w:t>Габариты блока станции насосной должны быть определены на стадии проектирования.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pPr>
              <w:rPr>
                <w:color w:val="FF0000"/>
              </w:rPr>
            </w:pPr>
            <w:r w:rsidRPr="00B75452">
              <w:t>Вентиляция: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proofErr w:type="gramStart"/>
            <w:r w:rsidRPr="00B75452">
              <w:t>Естественная</w:t>
            </w:r>
            <w:proofErr w:type="gramEnd"/>
            <w:r w:rsidRPr="00B75452">
              <w:t>, через дефлекторы с удалением из верхней зоны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r w:rsidRPr="00B75452">
              <w:t>Температура в помещении мин., º</w:t>
            </w:r>
            <w:proofErr w:type="gramStart"/>
            <w:r w:rsidRPr="00B75452">
              <w:t>С</w:t>
            </w:r>
            <w:proofErr w:type="gramEnd"/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</w:pPr>
            <w:r w:rsidRPr="00B75452">
              <w:t>10</w:t>
            </w:r>
          </w:p>
        </w:tc>
      </w:tr>
      <w:tr w:rsidR="007503BC" w:rsidRPr="00B75452" w:rsidTr="00540C9E">
        <w:tc>
          <w:tcPr>
            <w:tcW w:w="5495" w:type="dxa"/>
            <w:gridSpan w:val="2"/>
          </w:tcPr>
          <w:p w:rsidR="007503BC" w:rsidRPr="00B75452" w:rsidRDefault="007503BC" w:rsidP="00540C9E">
            <w:pPr>
              <w:rPr>
                <w:color w:val="FF0000"/>
              </w:rPr>
            </w:pPr>
            <w:r w:rsidRPr="00B75452">
              <w:t>Отопление:</w:t>
            </w:r>
          </w:p>
        </w:tc>
        <w:tc>
          <w:tcPr>
            <w:tcW w:w="4000" w:type="dxa"/>
          </w:tcPr>
          <w:p w:rsidR="007503BC" w:rsidRPr="00B75452" w:rsidRDefault="007503BC" w:rsidP="00540C9E">
            <w:pPr>
              <w:jc w:val="center"/>
              <w:rPr>
                <w:color w:val="FF0000"/>
              </w:rPr>
            </w:pPr>
            <w:r w:rsidRPr="00B75452">
              <w:t>Электрическое</w:t>
            </w:r>
          </w:p>
        </w:tc>
      </w:tr>
      <w:tr w:rsidR="007503BC" w:rsidRPr="00B75452" w:rsidTr="00540C9E">
        <w:tc>
          <w:tcPr>
            <w:tcW w:w="9495" w:type="dxa"/>
            <w:gridSpan w:val="3"/>
          </w:tcPr>
          <w:p w:rsidR="007503BC" w:rsidRPr="00B75452" w:rsidRDefault="007503BC" w:rsidP="00540C9E">
            <w:pPr>
              <w:rPr>
                <w:b/>
              </w:rPr>
            </w:pPr>
            <w:r w:rsidRPr="00B75452">
              <w:rPr>
                <w:b/>
              </w:rPr>
              <w:t>Дополнительные требования:</w:t>
            </w:r>
          </w:p>
          <w:p w:rsidR="007503BC" w:rsidRPr="00B75452" w:rsidRDefault="007503BC" w:rsidP="00540C9E">
            <w:r w:rsidRPr="00B75452">
              <w:t xml:space="preserve">Блок-бокс комплектовать </w:t>
            </w:r>
            <w:r w:rsidR="00540C9E">
              <w:t>порошковыми</w:t>
            </w:r>
            <w:r w:rsidRPr="00B75452">
              <w:t xml:space="preserve"> огнетушителями ОП-5(з) в количестве 2 шт.</w:t>
            </w:r>
          </w:p>
        </w:tc>
      </w:tr>
    </w:tbl>
    <w:p w:rsidR="007F5C67" w:rsidRDefault="007F5C67" w:rsidP="00C15A4F">
      <w:pPr>
        <w:ind w:right="-143"/>
        <w:jc w:val="right"/>
      </w:pPr>
    </w:p>
    <w:p w:rsidR="00BC1347" w:rsidRDefault="00186899" w:rsidP="00C15A4F">
      <w:pPr>
        <w:ind w:right="-143"/>
        <w:jc w:val="right"/>
      </w:pPr>
      <w:r>
        <w:t>Приложение 3</w:t>
      </w:r>
    </w:p>
    <w:p w:rsidR="00BC1347" w:rsidRDefault="00BC1347" w:rsidP="002331A0">
      <w:pPr>
        <w:jc w:val="center"/>
      </w:pPr>
    </w:p>
    <w:p w:rsidR="00BC1347" w:rsidRDefault="005A175C" w:rsidP="002331A0">
      <w:pPr>
        <w:jc w:val="center"/>
        <w:rPr>
          <w:sz w:val="28"/>
          <w:szCs w:val="28"/>
        </w:rPr>
      </w:pPr>
      <w:r w:rsidRPr="005A175C">
        <w:rPr>
          <w:sz w:val="28"/>
          <w:szCs w:val="28"/>
        </w:rPr>
        <w:t>Основные требования, предъявляемые к оборудованию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56"/>
        <w:gridCol w:w="6648"/>
        <w:gridCol w:w="1493"/>
        <w:gridCol w:w="992"/>
      </w:tblGrid>
      <w:tr w:rsidR="007A79CB" w:rsidRPr="00236310" w:rsidTr="00C15A4F">
        <w:tc>
          <w:tcPr>
            <w:tcW w:w="756" w:type="dxa"/>
          </w:tcPr>
          <w:p w:rsidR="007A79CB" w:rsidRPr="00236310" w:rsidRDefault="007A79CB" w:rsidP="002331A0">
            <w:pPr>
              <w:jc w:val="center"/>
            </w:pPr>
            <w:r w:rsidRPr="00236310">
              <w:t>№</w:t>
            </w:r>
          </w:p>
          <w:p w:rsidR="007A79CB" w:rsidRPr="00236310" w:rsidRDefault="007A79CB" w:rsidP="002331A0">
            <w:pPr>
              <w:jc w:val="center"/>
            </w:pPr>
            <w:proofErr w:type="gramStart"/>
            <w:r w:rsidRPr="00236310">
              <w:t>п</w:t>
            </w:r>
            <w:proofErr w:type="gramEnd"/>
            <w:r w:rsidRPr="00236310">
              <w:t>/п</w:t>
            </w:r>
          </w:p>
        </w:tc>
        <w:tc>
          <w:tcPr>
            <w:tcW w:w="6648" w:type="dxa"/>
          </w:tcPr>
          <w:p w:rsidR="007A79CB" w:rsidRPr="00236310" w:rsidRDefault="007A79CB" w:rsidP="002331A0">
            <w:pPr>
              <w:jc w:val="center"/>
            </w:pPr>
            <w:r w:rsidRPr="00236310">
              <w:t>Наименование показателя (наименование станции водоподготовки, наименования функциональных и качественных характеристик, комплектация и т. д.)</w:t>
            </w:r>
          </w:p>
        </w:tc>
        <w:tc>
          <w:tcPr>
            <w:tcW w:w="1493" w:type="dxa"/>
          </w:tcPr>
          <w:p w:rsidR="007A79CB" w:rsidRPr="00236310" w:rsidRDefault="007A79CB" w:rsidP="002331A0">
            <w:pPr>
              <w:jc w:val="center"/>
            </w:pPr>
            <w:r w:rsidRPr="00236310">
              <w:t>Ед. изм.</w:t>
            </w:r>
          </w:p>
        </w:tc>
        <w:tc>
          <w:tcPr>
            <w:tcW w:w="992" w:type="dxa"/>
          </w:tcPr>
          <w:p w:rsidR="007A79CB" w:rsidRPr="00236310" w:rsidRDefault="007A79CB" w:rsidP="002331A0">
            <w:pPr>
              <w:jc w:val="center"/>
            </w:pPr>
            <w:r w:rsidRPr="00236310">
              <w:t>Кол-во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1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5A175C">
            <w:r w:rsidRPr="00236310">
              <w:t xml:space="preserve">Станция водоподготовки предназначена для снижения содержания в исходной воде негативных веществ до требований СанПиН </w:t>
            </w:r>
            <w:r w:rsidR="00F261B3" w:rsidRPr="00236310">
              <w:t xml:space="preserve">с последующим использованием доля </w:t>
            </w:r>
            <w:r w:rsidRPr="00236310">
              <w:t>питьевых нужд.</w:t>
            </w:r>
          </w:p>
        </w:tc>
        <w:tc>
          <w:tcPr>
            <w:tcW w:w="1493" w:type="dxa"/>
            <w:vAlign w:val="center"/>
          </w:tcPr>
          <w:p w:rsidR="007A79CB" w:rsidRPr="00236310" w:rsidRDefault="00F261B3" w:rsidP="00F261B3">
            <w:pPr>
              <w:jc w:val="center"/>
            </w:pPr>
            <w:r w:rsidRPr="00236310">
              <w:t>шт.</w:t>
            </w:r>
          </w:p>
        </w:tc>
        <w:tc>
          <w:tcPr>
            <w:tcW w:w="992" w:type="dxa"/>
            <w:vAlign w:val="center"/>
          </w:tcPr>
          <w:p w:rsidR="007A79CB" w:rsidRPr="00236310" w:rsidRDefault="00F261B3" w:rsidP="00F261B3">
            <w:pPr>
              <w:jc w:val="center"/>
            </w:pPr>
            <w:r w:rsidRPr="00236310">
              <w:t>1</w:t>
            </w:r>
          </w:p>
        </w:tc>
      </w:tr>
      <w:tr w:rsidR="00236310" w:rsidRPr="00236310" w:rsidTr="00540C9E">
        <w:tc>
          <w:tcPr>
            <w:tcW w:w="756" w:type="dxa"/>
            <w:vAlign w:val="center"/>
          </w:tcPr>
          <w:p w:rsidR="00236310" w:rsidRPr="00236310" w:rsidRDefault="00236310" w:rsidP="005A175C">
            <w:pPr>
              <w:jc w:val="center"/>
            </w:pPr>
            <w:r w:rsidRPr="00236310">
              <w:t>2</w:t>
            </w:r>
          </w:p>
        </w:tc>
        <w:tc>
          <w:tcPr>
            <w:tcW w:w="9133" w:type="dxa"/>
            <w:gridSpan w:val="3"/>
            <w:vAlign w:val="center"/>
          </w:tcPr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236310">
              <w:t xml:space="preserve">Полная заводская готовность оборудования (заводская сборка), а так же минимальная досборка на объекте заказчика. </w:t>
            </w:r>
            <w:r w:rsidRPr="0085401D">
              <w:rPr>
                <w:color w:val="000000" w:themeColor="text1"/>
              </w:rPr>
              <w:t xml:space="preserve">Поставляемое оборудование должно соответствовать условиям эксплуатации, быть вновь изготовленным и </w:t>
            </w:r>
            <w:proofErr w:type="spellStart"/>
            <w:r w:rsidRPr="0085401D">
              <w:rPr>
                <w:color w:val="000000" w:themeColor="text1"/>
              </w:rPr>
              <w:t>ремонтопригодным</w:t>
            </w:r>
            <w:proofErr w:type="spellEnd"/>
            <w:r w:rsidRPr="0085401D">
              <w:rPr>
                <w:color w:val="000000" w:themeColor="text1"/>
              </w:rPr>
              <w:t>. Блок укомплектовать оборудованием и расходными материалами для возможного окончательного монтажа на строительной площадке.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 xml:space="preserve">Все материалы, использованные для изготовления блока, должны быть устойчивы и надежны в рабочей среде, и иметь сертификаты, характеризующие химический состав, механические свойства и результаты испытаний. 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Расположение оборудования должно обеспечивать удобство их обслуживания.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Расчетный срок эксплуатации оборудования– 20 лет.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lastRenderedPageBreak/>
              <w:t xml:space="preserve">Арматура должна соответствовать требованиям ГОСТ 12.2.063-2015. 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Материал арматуры выбирается в зависимости от условий эксплуатации, параметров и физико-химических свой</w:t>
            </w:r>
            <w:proofErr w:type="gramStart"/>
            <w:r w:rsidRPr="0085401D">
              <w:rPr>
                <w:color w:val="000000" w:themeColor="text1"/>
              </w:rPr>
              <w:t>ств тр</w:t>
            </w:r>
            <w:proofErr w:type="gramEnd"/>
            <w:r w:rsidRPr="0085401D">
              <w:rPr>
                <w:color w:val="000000" w:themeColor="text1"/>
              </w:rPr>
              <w:t>анспортируемой среды. В проекте используется трубопроводная арматура исполнения ХЛ</w:t>
            </w:r>
            <w:proofErr w:type="gramStart"/>
            <w:r w:rsidRPr="0085401D">
              <w:rPr>
                <w:color w:val="000000" w:themeColor="text1"/>
              </w:rPr>
              <w:t>1</w:t>
            </w:r>
            <w:proofErr w:type="gramEnd"/>
            <w:r w:rsidRPr="0085401D">
              <w:rPr>
                <w:color w:val="000000" w:themeColor="text1"/>
              </w:rPr>
              <w:t xml:space="preserve">. Запорная арматура должна иметь герметичность затвора класса А по ГОСТ 9544-2005. 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Окраску оборудования произвести согласно требованиям Заказчика.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Обеспечить герметизацию в местах прохождения трубопроводов, кабелей через стены блока с учетом сейсмичности района.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>В блочном здании предусмотреть систему искусственного освещения, системы отопления и вентиляции.</w:t>
            </w:r>
          </w:p>
          <w:p w:rsidR="00236310" w:rsidRPr="0085401D" w:rsidRDefault="00236310" w:rsidP="00236310">
            <w:pPr>
              <w:rPr>
                <w:color w:val="000000" w:themeColor="text1"/>
              </w:rPr>
            </w:pPr>
            <w:r w:rsidRPr="0085401D">
              <w:rPr>
                <w:color w:val="000000" w:themeColor="text1"/>
              </w:rPr>
              <w:t xml:space="preserve">Подключение трубопроводов блока предусмотреть через фланцевые соединения по ГОСТ 12815-80 с ответными фланцами, прокладками, крепежными изделиями (шпильки) с цинковым покрытием. </w:t>
            </w:r>
          </w:p>
          <w:p w:rsidR="00236310" w:rsidRPr="00236310" w:rsidRDefault="00236310" w:rsidP="00236310">
            <w:r w:rsidRPr="0085401D">
              <w:rPr>
                <w:color w:val="000000" w:themeColor="text1"/>
              </w:rPr>
              <w:t xml:space="preserve">Входные и выходные патрубки трубопроводов должны выступать за стенку блока не более 150 мм. Трубопроводы в блоке, на входе и выходе должны иметь опорные элементы, воспринимающие полную нагрузку от внутренней трубной обвязки.  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lastRenderedPageBreak/>
              <w:t>3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5A175C">
            <w:r w:rsidRPr="00236310">
              <w:t>Полная автоматизация технологических процессов с возможностью управления работой станции в ручном режиме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4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5A175C">
            <w:r w:rsidRPr="00236310">
              <w:t>Обязательно совместимость и автоматизированная работа предлагаемого оборудования с подземным оборудованием скважины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5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5A175C">
            <w:r w:rsidRPr="00236310">
              <w:t>Возможность модернизации станции водоподготовки в будущем при необходимости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6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876088">
            <w:r w:rsidRPr="00236310">
              <w:t>Срок эксплуатации станции очистки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лет</w:t>
            </w:r>
          </w:p>
        </w:tc>
        <w:tc>
          <w:tcPr>
            <w:tcW w:w="992" w:type="dxa"/>
            <w:vAlign w:val="center"/>
          </w:tcPr>
          <w:p w:rsidR="007A79CB" w:rsidRPr="00236310" w:rsidRDefault="00F261B3" w:rsidP="00C13D5E">
            <w:pPr>
              <w:jc w:val="center"/>
            </w:pPr>
            <w:r w:rsidRPr="00236310">
              <w:t>н</w:t>
            </w:r>
            <w:r w:rsidR="007A79CB" w:rsidRPr="00236310">
              <w:t xml:space="preserve">е </w:t>
            </w:r>
            <w:r w:rsidRPr="00236310">
              <w:t>менее</w:t>
            </w:r>
            <w:r w:rsidR="007A79CB" w:rsidRPr="00236310">
              <w:t xml:space="preserve"> </w:t>
            </w:r>
            <w:r w:rsidR="00C13D5E">
              <w:t>20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7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876088">
            <w:r w:rsidRPr="00236310">
              <w:t>Гарантия постоянного давления в системе водоснабжения при номинальной производительности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  <w:proofErr w:type="spellStart"/>
            <w:proofErr w:type="gramStart"/>
            <w:r w:rsidRPr="00236310">
              <w:t>атм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2-4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8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876088">
            <w:r w:rsidRPr="00236310">
              <w:t>Производительность номинальная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м3/</w:t>
            </w:r>
            <w:proofErr w:type="spellStart"/>
            <w:r w:rsidRPr="00236310"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20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9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4F07F3">
            <w:r w:rsidRPr="00236310">
              <w:t xml:space="preserve">Наличие </w:t>
            </w:r>
            <w:proofErr w:type="spellStart"/>
            <w:r w:rsidRPr="00236310">
              <w:t>гидроаккумулятора</w:t>
            </w:r>
            <w:proofErr w:type="spellEnd"/>
            <w:r w:rsidRPr="00236310">
              <w:t xml:space="preserve"> обязательно</w:t>
            </w:r>
          </w:p>
          <w:p w:rsidR="007A79CB" w:rsidRPr="00236310" w:rsidRDefault="007A79CB" w:rsidP="004F07F3">
            <w:r w:rsidRPr="00236310">
              <w:t xml:space="preserve">(допускается компоновка из двух </w:t>
            </w:r>
            <w:proofErr w:type="spellStart"/>
            <w:r w:rsidRPr="00236310">
              <w:t>гидроаккумуляторов</w:t>
            </w:r>
            <w:proofErr w:type="spellEnd"/>
            <w:r w:rsidRPr="00236310">
              <w:t>)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0,5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10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A1786C">
            <w:r w:rsidRPr="00236310">
              <w:t>Подача воды из скважины электроцентробежным насосом</w:t>
            </w:r>
          </w:p>
        </w:tc>
        <w:tc>
          <w:tcPr>
            <w:tcW w:w="1493" w:type="dxa"/>
            <w:vAlign w:val="center"/>
          </w:tcPr>
          <w:p w:rsidR="007A79CB" w:rsidRPr="00236310" w:rsidRDefault="007E263D" w:rsidP="005A175C">
            <w:pPr>
              <w:jc w:val="center"/>
              <w:rPr>
                <w:color w:val="FF0000"/>
              </w:rPr>
            </w:pPr>
            <w:r w:rsidRPr="0085401D">
              <w:rPr>
                <w:color w:val="000000" w:themeColor="text1"/>
              </w:rPr>
              <w:t>ЭЦВ5-4-100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11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D9664D">
            <w:r w:rsidRPr="00236310">
              <w:t>Гарантии соответствия очищенной воды, подаваемой в магистральный водопровод после станции водоподготовки.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5A175C">
            <w:pPr>
              <w:jc w:val="center"/>
            </w:pPr>
            <w:r w:rsidRPr="00236310">
              <w:t>12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D9664D">
            <w:r w:rsidRPr="00236310">
              <w:t xml:space="preserve">Требование к питьевой воде после водоочистки </w:t>
            </w:r>
          </w:p>
        </w:tc>
        <w:tc>
          <w:tcPr>
            <w:tcW w:w="1493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  <w:tc>
          <w:tcPr>
            <w:tcW w:w="992" w:type="dxa"/>
            <w:vAlign w:val="center"/>
          </w:tcPr>
          <w:p w:rsidR="007A79CB" w:rsidRPr="00236310" w:rsidRDefault="007A79CB" w:rsidP="005A175C">
            <w:pPr>
              <w:jc w:val="center"/>
            </w:pP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12.1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Запах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балл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2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12.2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 xml:space="preserve">Мутность (по </w:t>
            </w:r>
            <w:proofErr w:type="spellStart"/>
            <w:r w:rsidRPr="00236310">
              <w:t>формазину</w:t>
            </w:r>
            <w:proofErr w:type="spellEnd"/>
            <w:r w:rsidRPr="00236310">
              <w:t>)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ЕМФ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2,6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12.3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Цветность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градусы цветности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20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12.4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Привкус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балл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2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12.5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Водородный показатель (</w:t>
            </w:r>
            <w:proofErr w:type="spellStart"/>
            <w:r w:rsidRPr="00236310">
              <w:t>Ph</w:t>
            </w:r>
            <w:proofErr w:type="spellEnd"/>
            <w:r w:rsidRPr="00236310">
              <w:t>)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  <w:textAlignment w:val="baseline"/>
            </w:pPr>
            <w:proofErr w:type="spellStart"/>
            <w:r w:rsidRPr="00236310">
              <w:t>Ед.Ph</w:t>
            </w:r>
            <w:proofErr w:type="spellEnd"/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6-9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12.6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Общая минерализация</w:t>
            </w:r>
          </w:p>
        </w:tc>
        <w:tc>
          <w:tcPr>
            <w:tcW w:w="1493" w:type="dxa"/>
          </w:tcPr>
          <w:p w:rsidR="007A79CB" w:rsidRPr="00236310" w:rsidRDefault="00186899" w:rsidP="007A79CB">
            <w:pPr>
              <w:jc w:val="center"/>
              <w:textAlignment w:val="baseline"/>
            </w:pPr>
            <w:r w:rsidRPr="00236310">
              <w:t>мг/дм3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1500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12.7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Жесткость общая</w:t>
            </w:r>
          </w:p>
        </w:tc>
        <w:tc>
          <w:tcPr>
            <w:tcW w:w="1493" w:type="dxa"/>
          </w:tcPr>
          <w:p w:rsidR="007A79CB" w:rsidRPr="00236310" w:rsidRDefault="00186899" w:rsidP="007A79CB">
            <w:pPr>
              <w:jc w:val="center"/>
            </w:pPr>
            <w:r w:rsidRPr="00236310">
              <w:t>мг/дм3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10,0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12.8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 xml:space="preserve">Окисляемость </w:t>
            </w:r>
            <w:proofErr w:type="spellStart"/>
            <w:r w:rsidRPr="00236310">
              <w:t>перманганатная</w:t>
            </w:r>
            <w:proofErr w:type="spellEnd"/>
          </w:p>
        </w:tc>
        <w:tc>
          <w:tcPr>
            <w:tcW w:w="1493" w:type="dxa"/>
          </w:tcPr>
          <w:p w:rsidR="007A79CB" w:rsidRPr="00236310" w:rsidRDefault="00186899" w:rsidP="007A79CB">
            <w:pPr>
              <w:jc w:val="center"/>
            </w:pPr>
            <w:r w:rsidRPr="00236310">
              <w:t>мг/дм3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7,0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12.9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Нефтепродукты</w:t>
            </w:r>
          </w:p>
        </w:tc>
        <w:tc>
          <w:tcPr>
            <w:tcW w:w="1493" w:type="dxa"/>
          </w:tcPr>
          <w:p w:rsidR="007A79CB" w:rsidRPr="00236310" w:rsidRDefault="00186899" w:rsidP="007A79CB">
            <w:pPr>
              <w:jc w:val="center"/>
            </w:pPr>
            <w:r w:rsidRPr="00236310">
              <w:t>мг/дм3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0,1</w:t>
            </w:r>
          </w:p>
        </w:tc>
      </w:tr>
      <w:tr w:rsidR="007A79CB" w:rsidRPr="00236310" w:rsidTr="00C15A4F">
        <w:tc>
          <w:tcPr>
            <w:tcW w:w="756" w:type="dxa"/>
            <w:vAlign w:val="center"/>
          </w:tcPr>
          <w:p w:rsidR="007A79CB" w:rsidRPr="00236310" w:rsidRDefault="007A79CB" w:rsidP="007A79CB">
            <w:pPr>
              <w:jc w:val="center"/>
            </w:pPr>
            <w:r w:rsidRPr="00236310">
              <w:t>12.10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АПАВ</w:t>
            </w:r>
          </w:p>
        </w:tc>
        <w:tc>
          <w:tcPr>
            <w:tcW w:w="1493" w:type="dxa"/>
          </w:tcPr>
          <w:p w:rsidR="007A79CB" w:rsidRPr="00236310" w:rsidRDefault="00186899" w:rsidP="007A79CB">
            <w:pPr>
              <w:jc w:val="center"/>
            </w:pPr>
            <w:r w:rsidRPr="00236310">
              <w:t>мг/дм3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0,5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12.11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Железо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0,3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12.12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Марганец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0,1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12.13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Алюминий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0,2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12.14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Аммиак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1,5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12.15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Медь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1,0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lastRenderedPageBreak/>
              <w:t>12.16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Нитраты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45,0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12.17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Нитриты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3,0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12.18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Сульфаты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500,0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12.19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Фториды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1,5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12.20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Хлориды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350,0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12.21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Цинк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5,0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12.22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Кадмий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0,001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12.23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Свинец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0,01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12.24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Мышьяк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0,001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12.25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Ртуть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0,0005</w:t>
            </w:r>
          </w:p>
        </w:tc>
      </w:tr>
      <w:tr w:rsidR="007A79CB" w:rsidRPr="00236310" w:rsidTr="00C15A4F">
        <w:tc>
          <w:tcPr>
            <w:tcW w:w="756" w:type="dxa"/>
          </w:tcPr>
          <w:p w:rsidR="007A79CB" w:rsidRPr="00236310" w:rsidRDefault="007A79CB">
            <w:r w:rsidRPr="00236310">
              <w:t>12.26</w:t>
            </w:r>
          </w:p>
        </w:tc>
        <w:tc>
          <w:tcPr>
            <w:tcW w:w="6648" w:type="dxa"/>
            <w:vAlign w:val="center"/>
          </w:tcPr>
          <w:p w:rsidR="007A79CB" w:rsidRPr="00236310" w:rsidRDefault="007A79CB" w:rsidP="007A79CB">
            <w:pPr>
              <w:textAlignment w:val="baseline"/>
            </w:pPr>
            <w:r w:rsidRPr="00236310">
              <w:t>Кремний</w:t>
            </w:r>
          </w:p>
        </w:tc>
        <w:tc>
          <w:tcPr>
            <w:tcW w:w="1493" w:type="dxa"/>
          </w:tcPr>
          <w:p w:rsidR="007A79CB" w:rsidRPr="00236310" w:rsidRDefault="007A79CB" w:rsidP="007A79CB">
            <w:pPr>
              <w:jc w:val="center"/>
            </w:pPr>
            <w:r w:rsidRPr="00236310">
              <w:t>Мг/л</w:t>
            </w:r>
          </w:p>
        </w:tc>
        <w:tc>
          <w:tcPr>
            <w:tcW w:w="992" w:type="dxa"/>
            <w:vAlign w:val="center"/>
          </w:tcPr>
          <w:p w:rsidR="007A79CB" w:rsidRPr="00236310" w:rsidRDefault="007A79CB" w:rsidP="007A79CB">
            <w:pPr>
              <w:jc w:val="center"/>
              <w:textAlignment w:val="baseline"/>
            </w:pPr>
            <w:r w:rsidRPr="00236310">
              <w:t>25,0</w:t>
            </w:r>
          </w:p>
        </w:tc>
      </w:tr>
      <w:tr w:rsidR="00D71190" w:rsidRPr="00236310" w:rsidTr="00332F0D">
        <w:tc>
          <w:tcPr>
            <w:tcW w:w="756" w:type="dxa"/>
            <w:vAlign w:val="center"/>
          </w:tcPr>
          <w:p w:rsidR="00D71190" w:rsidRPr="00236310" w:rsidRDefault="00D71190" w:rsidP="007A79CB">
            <w:pPr>
              <w:jc w:val="center"/>
            </w:pPr>
            <w:r w:rsidRPr="00236310">
              <w:t>13</w:t>
            </w:r>
          </w:p>
        </w:tc>
        <w:tc>
          <w:tcPr>
            <w:tcW w:w="9133" w:type="dxa"/>
            <w:gridSpan w:val="3"/>
            <w:vAlign w:val="center"/>
          </w:tcPr>
          <w:p w:rsidR="00D71190" w:rsidRPr="00236310" w:rsidRDefault="00D71190" w:rsidP="007A79CB">
            <w:pPr>
              <w:jc w:val="center"/>
            </w:pPr>
            <w:r w:rsidRPr="00236310">
              <w:t xml:space="preserve">Требования к </w:t>
            </w:r>
            <w:proofErr w:type="gramStart"/>
            <w:r w:rsidRPr="00236310">
              <w:t>блок-контейнеру</w:t>
            </w:r>
            <w:proofErr w:type="gramEnd"/>
          </w:p>
        </w:tc>
      </w:tr>
      <w:tr w:rsidR="00C13D5E" w:rsidRPr="00236310" w:rsidTr="00540C9E">
        <w:tc>
          <w:tcPr>
            <w:tcW w:w="756" w:type="dxa"/>
            <w:vAlign w:val="center"/>
          </w:tcPr>
          <w:p w:rsidR="00C13D5E" w:rsidRPr="00236310" w:rsidRDefault="00C13D5E" w:rsidP="007A79CB">
            <w:pPr>
              <w:jc w:val="center"/>
            </w:pPr>
            <w:r w:rsidRPr="00236310">
              <w:t>13.1</w:t>
            </w:r>
          </w:p>
        </w:tc>
        <w:tc>
          <w:tcPr>
            <w:tcW w:w="9133" w:type="dxa"/>
            <w:gridSpan w:val="3"/>
            <w:vAlign w:val="center"/>
          </w:tcPr>
          <w:p w:rsidR="00C13D5E" w:rsidRPr="00236310" w:rsidRDefault="00C13D5E" w:rsidP="00C13D5E">
            <w:r w:rsidRPr="00236310">
              <w:t>Исполнение ХЛ. В теплоизолирующем контейнере исполнения "Север" с системой вентиляции и освещения</w:t>
            </w:r>
          </w:p>
        </w:tc>
      </w:tr>
      <w:tr w:rsidR="00186899" w:rsidRPr="00236310" w:rsidTr="00C15A4F">
        <w:tc>
          <w:tcPr>
            <w:tcW w:w="756" w:type="dxa"/>
          </w:tcPr>
          <w:p w:rsidR="00186899" w:rsidRPr="00236310" w:rsidRDefault="00186899">
            <w:r w:rsidRPr="00236310">
              <w:t>13.2</w:t>
            </w:r>
          </w:p>
        </w:tc>
        <w:tc>
          <w:tcPr>
            <w:tcW w:w="6648" w:type="dxa"/>
            <w:vAlign w:val="center"/>
          </w:tcPr>
          <w:p w:rsidR="00186899" w:rsidRPr="00236310" w:rsidRDefault="00186899" w:rsidP="007A79CB">
            <w:r w:rsidRPr="00236310">
              <w:t>Температурный диапазон окружающей среды,</w:t>
            </w:r>
          </w:p>
        </w:tc>
        <w:tc>
          <w:tcPr>
            <w:tcW w:w="1493" w:type="dxa"/>
            <w:vAlign w:val="center"/>
          </w:tcPr>
          <w:p w:rsidR="00186899" w:rsidRPr="00236310" w:rsidRDefault="00186899" w:rsidP="007A79CB">
            <w:pPr>
              <w:jc w:val="center"/>
            </w:pPr>
            <w:r w:rsidRPr="00236310">
              <w:rPr>
                <w:vertAlign w:val="superscript"/>
              </w:rPr>
              <w:t>0</w:t>
            </w:r>
            <w:r w:rsidRPr="00236310">
              <w:t>С</w:t>
            </w:r>
          </w:p>
        </w:tc>
        <w:tc>
          <w:tcPr>
            <w:tcW w:w="992" w:type="dxa"/>
            <w:vAlign w:val="center"/>
          </w:tcPr>
          <w:p w:rsidR="00186899" w:rsidRPr="00236310" w:rsidRDefault="00186899" w:rsidP="007A79CB">
            <w:pPr>
              <w:jc w:val="center"/>
            </w:pPr>
            <w:r w:rsidRPr="00236310">
              <w:t>+40 –</w:t>
            </w:r>
          </w:p>
          <w:p w:rsidR="00186899" w:rsidRPr="00236310" w:rsidRDefault="00186899" w:rsidP="007A79CB">
            <w:pPr>
              <w:jc w:val="center"/>
            </w:pPr>
            <w:r w:rsidRPr="00236310">
              <w:t>-60</w:t>
            </w:r>
          </w:p>
        </w:tc>
      </w:tr>
      <w:tr w:rsidR="00C13D5E" w:rsidRPr="00236310" w:rsidTr="00540C9E">
        <w:tc>
          <w:tcPr>
            <w:tcW w:w="756" w:type="dxa"/>
          </w:tcPr>
          <w:p w:rsidR="00C13D5E" w:rsidRPr="00236310" w:rsidRDefault="00C13D5E">
            <w:r w:rsidRPr="00236310">
              <w:t>13.3</w:t>
            </w:r>
          </w:p>
        </w:tc>
        <w:tc>
          <w:tcPr>
            <w:tcW w:w="9133" w:type="dxa"/>
            <w:gridSpan w:val="3"/>
            <w:vAlign w:val="center"/>
          </w:tcPr>
          <w:p w:rsidR="00C13D5E" w:rsidRPr="00236310" w:rsidRDefault="00C13D5E" w:rsidP="00C13D5E">
            <w:r w:rsidRPr="00236310">
              <w:t>Блок-контейнер устанавливается на скважину сверху</w:t>
            </w:r>
          </w:p>
          <w:p w:rsidR="00C13D5E" w:rsidRPr="00236310" w:rsidRDefault="00C13D5E" w:rsidP="00C13D5E">
            <w:r w:rsidRPr="00236310">
              <w:t>- Обязательно разделение блок контейнера на две части: Первая часть – система водоподготовки; Вторая часть – скважина (приложение 4);</w:t>
            </w:r>
          </w:p>
          <w:p w:rsidR="00C13D5E" w:rsidRPr="00236310" w:rsidRDefault="00C13D5E" w:rsidP="00C13D5E">
            <w:r w:rsidRPr="00236310">
              <w:t xml:space="preserve">- Обязательно отверстие в полу </w:t>
            </w:r>
            <w:proofErr w:type="spellStart"/>
            <w:r>
              <w:t>Ду</w:t>
            </w:r>
            <w:proofErr w:type="spellEnd"/>
            <w:r>
              <w:t xml:space="preserve"> 400 </w:t>
            </w:r>
            <w:r w:rsidRPr="00236310">
              <w:t>во второй части с последующей герметизацией на объекте, а так же предусмотрен быстрый съем крыши во второй части для проведения смены УЭЦН и НКТ на скважине.</w:t>
            </w:r>
          </w:p>
        </w:tc>
      </w:tr>
      <w:tr w:rsidR="00C13D5E" w:rsidRPr="00236310" w:rsidTr="00540C9E">
        <w:tc>
          <w:tcPr>
            <w:tcW w:w="756" w:type="dxa"/>
          </w:tcPr>
          <w:p w:rsidR="00C13D5E" w:rsidRPr="00236310" w:rsidRDefault="00C13D5E">
            <w:r w:rsidRPr="00236310">
              <w:t>13.4</w:t>
            </w:r>
          </w:p>
        </w:tc>
        <w:tc>
          <w:tcPr>
            <w:tcW w:w="9133" w:type="dxa"/>
            <w:gridSpan w:val="3"/>
          </w:tcPr>
          <w:p w:rsidR="00C13D5E" w:rsidRPr="00236310" w:rsidRDefault="00C13D5E" w:rsidP="00C13D5E">
            <w:r w:rsidRPr="00236310">
              <w:t>Корпус должен в себя включать:</w:t>
            </w:r>
            <w:proofErr w:type="gramStart"/>
            <w:r w:rsidRPr="00236310">
              <w:br/>
              <w:t>-</w:t>
            </w:r>
            <w:proofErr w:type="gramEnd"/>
            <w:r w:rsidRPr="00236310">
              <w:t>фундаменты и опорные конструкции для крепления комплекс энергетического оборудования и вспомогательного оборудования на свайном основании.</w:t>
            </w:r>
            <w:r w:rsidRPr="00236310">
              <w:br/>
              <w:t>-двери распашные, щитовые, с расположением полотна в проеме;</w:t>
            </w:r>
            <w:r w:rsidRPr="00236310">
              <w:br/>
              <w:t>-герметичные проемы и проходки для ввода силовых и контрольных кабелей, проем для труб водоснабжения</w:t>
            </w:r>
          </w:p>
        </w:tc>
      </w:tr>
      <w:tr w:rsidR="00C13D5E" w:rsidRPr="00236310" w:rsidTr="00540C9E">
        <w:tc>
          <w:tcPr>
            <w:tcW w:w="756" w:type="dxa"/>
          </w:tcPr>
          <w:p w:rsidR="00C13D5E" w:rsidRPr="00236310" w:rsidRDefault="00C13D5E">
            <w:r w:rsidRPr="00236310">
              <w:t>13.5</w:t>
            </w:r>
          </w:p>
        </w:tc>
        <w:tc>
          <w:tcPr>
            <w:tcW w:w="9133" w:type="dxa"/>
            <w:gridSpan w:val="3"/>
          </w:tcPr>
          <w:p w:rsidR="00C13D5E" w:rsidRPr="00236310" w:rsidRDefault="00C13D5E" w:rsidP="00C13D5E">
            <w:r w:rsidRPr="00236310">
              <w:t>Конструкция должна отвечать следующим требованиям:</w:t>
            </w:r>
            <w:proofErr w:type="gramStart"/>
            <w:r w:rsidRPr="00236310">
              <w:br/>
              <w:t>-</w:t>
            </w:r>
            <w:proofErr w:type="gramEnd"/>
            <w:r w:rsidRPr="00236310">
              <w:t>в основе иметь металлический каркас;</w:t>
            </w:r>
            <w:r w:rsidRPr="00236310">
              <w:br/>
              <w:t>-кровля, наружные и внутренние стены - стеновые сэндвич-панели;</w:t>
            </w:r>
            <w:r w:rsidRPr="00236310">
              <w:br/>
              <w:t xml:space="preserve">-исключить применение </w:t>
            </w:r>
            <w:proofErr w:type="spellStart"/>
            <w:r w:rsidRPr="00236310">
              <w:t>металопрофиля</w:t>
            </w:r>
            <w:proofErr w:type="spellEnd"/>
            <w:r w:rsidRPr="00236310">
              <w:t>, при толщине листа не менее 1,5мм;</w:t>
            </w:r>
            <w:r w:rsidRPr="00236310">
              <w:br/>
              <w:t>-применить теплоизолирующие материалы на основе базальтовой ваты;</w:t>
            </w:r>
            <w:r w:rsidRPr="00236310">
              <w:br/>
              <w:t>-металлические двери «</w:t>
            </w:r>
            <w:proofErr w:type="spellStart"/>
            <w:r w:rsidRPr="00236310">
              <w:t>Антипаника</w:t>
            </w:r>
            <w:proofErr w:type="spellEnd"/>
            <w:r w:rsidRPr="00236310">
              <w:t>» с утеплителем;</w:t>
            </w:r>
            <w:r w:rsidRPr="00236310">
              <w:br/>
              <w:t xml:space="preserve">-конструкция должна предусматривать возможность доступа к элементам управления и обслуживания комплекс энергетического оборудования при эксплуатации; возможность доступа к элементам, требующим проверки и регулирования комплекс энергетического оборудования согласно ГОСТ </w:t>
            </w:r>
            <w:proofErr w:type="gramStart"/>
            <w:r w:rsidRPr="00236310">
              <w:t>Р</w:t>
            </w:r>
            <w:proofErr w:type="gramEnd"/>
            <w:r w:rsidRPr="00236310">
              <w:t xml:space="preserve"> 55006-2012</w:t>
            </w:r>
            <w:r w:rsidRPr="00236310">
              <w:br/>
              <w:t>-оснащение всех вентиляционных проемов снегозащитными решетками;</w:t>
            </w:r>
            <w:r w:rsidRPr="00236310">
              <w:br/>
              <w:t>-конструктивные и инженерные решения должны соответствовать действующим нормативным требованиям по безопасной эксплуатации сооружений и охране руда;</w:t>
            </w:r>
            <w:r w:rsidRPr="00236310">
              <w:br/>
              <w:t>-цветовое исполнение корпуса внутри RAL 9016.</w:t>
            </w:r>
            <w:r w:rsidRPr="00236310">
              <w:br/>
              <w:t xml:space="preserve"> -цветовое исполнение корпуса снаружи: основной - RAL 9003, контур (козырьки, крыша) RAL 6024, логотип RAL 6024.</w:t>
            </w:r>
          </w:p>
        </w:tc>
      </w:tr>
      <w:tr w:rsidR="00C13D5E" w:rsidRPr="00236310" w:rsidTr="00540C9E">
        <w:tc>
          <w:tcPr>
            <w:tcW w:w="756" w:type="dxa"/>
          </w:tcPr>
          <w:p w:rsidR="00C13D5E" w:rsidRPr="00236310" w:rsidRDefault="00C13D5E">
            <w:r w:rsidRPr="00236310">
              <w:t>13.6</w:t>
            </w:r>
          </w:p>
        </w:tc>
        <w:tc>
          <w:tcPr>
            <w:tcW w:w="9133" w:type="dxa"/>
            <w:gridSpan w:val="3"/>
          </w:tcPr>
          <w:p w:rsidR="00C13D5E" w:rsidRPr="00236310" w:rsidRDefault="00C13D5E" w:rsidP="00C13D5E">
            <w:r w:rsidRPr="00236310">
              <w:t xml:space="preserve">Категория по </w:t>
            </w:r>
            <w:proofErr w:type="spellStart"/>
            <w:r w:rsidRPr="00236310">
              <w:t>взрыво</w:t>
            </w:r>
            <w:proofErr w:type="spellEnd"/>
            <w:r w:rsidRPr="00236310">
              <w:t xml:space="preserve"> - и </w:t>
            </w:r>
            <w:proofErr w:type="spellStart"/>
            <w:r w:rsidRPr="00236310">
              <w:t>пожароопасности</w:t>
            </w:r>
            <w:proofErr w:type="spellEnd"/>
            <w:r w:rsidRPr="00236310">
              <w:t>; Д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13.7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Степень огнестойкости; IV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13.8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Пол должен быть выполнен из металлического рифленого листа.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13.9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Антикоррозийные защитные покрытия внутренних и наружных поверхностей должны соответствовать требованиям ГОСТ 9.032, ГОСТ 15150 и СНиП 2.03.11.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13.10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Система освещения блок-модуля должна быть оснащена светодиодными источниками света и включает в свой состав:</w:t>
            </w:r>
            <w:proofErr w:type="gramStart"/>
            <w:r w:rsidRPr="00236310">
              <w:br/>
            </w:r>
            <w:r w:rsidRPr="00236310">
              <w:lastRenderedPageBreak/>
              <w:t>-</w:t>
            </w:r>
            <w:proofErr w:type="gramEnd"/>
            <w:r w:rsidRPr="00236310">
              <w:t>систему внутреннего освещения контейнера;</w:t>
            </w:r>
            <w:r w:rsidRPr="00236310">
              <w:br/>
              <w:t>-систему наружного освещения контейнера;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lastRenderedPageBreak/>
              <w:t>13.11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Система вентиляции приточно-вытяжная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13.12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Обеспечить минимальную температуру внутри контейнера не ниже +10</w:t>
            </w:r>
            <w:proofErr w:type="gramStart"/>
            <w:r w:rsidRPr="00236310">
              <w:t>°С</w:t>
            </w:r>
            <w:proofErr w:type="gramEnd"/>
            <w:r w:rsidRPr="00236310">
              <w:t>, при температуре окружающей среды -60°С;</w:t>
            </w:r>
          </w:p>
          <w:p w:rsidR="004D3DC3" w:rsidRPr="00236310" w:rsidRDefault="004D3DC3" w:rsidP="004D3DC3">
            <w:r w:rsidRPr="00236310">
              <w:t>Подключение отопления в Первой и Второй части контейнера раздельно.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13.13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 xml:space="preserve">Расположение элементов обогрева на стенах, располагать элементы обогрева на полу запрещается </w:t>
            </w:r>
          </w:p>
        </w:tc>
      </w:tr>
      <w:tr w:rsidR="00186899" w:rsidRPr="00236310" w:rsidTr="00C15A4F">
        <w:tc>
          <w:tcPr>
            <w:tcW w:w="756" w:type="dxa"/>
          </w:tcPr>
          <w:p w:rsidR="00186899" w:rsidRPr="00236310" w:rsidRDefault="00186899">
            <w:r w:rsidRPr="00236310">
              <w:t>13.</w:t>
            </w:r>
            <w:r w:rsidR="00C15A4F" w:rsidRPr="00236310">
              <w:t>14</w:t>
            </w:r>
          </w:p>
        </w:tc>
        <w:tc>
          <w:tcPr>
            <w:tcW w:w="6648" w:type="dxa"/>
          </w:tcPr>
          <w:p w:rsidR="00186899" w:rsidRPr="00236310" w:rsidRDefault="00186899" w:rsidP="00745856">
            <w:r w:rsidRPr="00236310">
              <w:t xml:space="preserve">Конструкция </w:t>
            </w:r>
            <w:proofErr w:type="gramStart"/>
            <w:r w:rsidRPr="00236310">
              <w:t>блок-модуля</w:t>
            </w:r>
            <w:proofErr w:type="gramEnd"/>
            <w:r w:rsidRPr="00236310">
              <w:t xml:space="preserve"> должна быть оснащена розетками 220В</w:t>
            </w:r>
            <w:r w:rsidR="005F6EFA">
              <w:t>/380В</w:t>
            </w:r>
            <w:r w:rsidRPr="00236310">
              <w:t xml:space="preserve"> </w:t>
            </w:r>
            <w:r w:rsidR="005F6EFA">
              <w:t xml:space="preserve">с заземляющими контактами </w:t>
            </w:r>
            <w:r w:rsidRPr="00236310">
              <w:t xml:space="preserve">для возможности </w:t>
            </w:r>
            <w:r w:rsidR="00745856">
              <w:t>проведения ТО и ремонтных работ,</w:t>
            </w:r>
            <w:r w:rsidRPr="00236310">
              <w:t xml:space="preserve"> </w:t>
            </w:r>
            <w:r w:rsidR="00745856">
              <w:t>с</w:t>
            </w:r>
            <w:r w:rsidR="005F6EFA">
              <w:t xml:space="preserve">о </w:t>
            </w:r>
            <w:r w:rsidRPr="00236310">
              <w:t>степень</w:t>
            </w:r>
            <w:r w:rsidR="005F6EFA">
              <w:t>ю</w:t>
            </w:r>
            <w:r w:rsidRPr="00236310">
              <w:t xml:space="preserve"> защиты IP</w:t>
            </w:r>
            <w:r w:rsidR="005F6EFA">
              <w:t>56</w:t>
            </w:r>
            <w:r w:rsidRPr="00236310">
              <w:t>;</w:t>
            </w:r>
            <w:r w:rsidR="00664F46" w:rsidRPr="00236310">
              <w:t xml:space="preserve"> места размещения розеток согласовать с заказчиком.</w:t>
            </w:r>
          </w:p>
        </w:tc>
        <w:tc>
          <w:tcPr>
            <w:tcW w:w="1493" w:type="dxa"/>
            <w:vAlign w:val="center"/>
          </w:tcPr>
          <w:p w:rsidR="00186899" w:rsidRPr="00236310" w:rsidRDefault="00664F46" w:rsidP="00C15A4F">
            <w:pPr>
              <w:jc w:val="center"/>
            </w:pPr>
            <w:r w:rsidRPr="00236310">
              <w:t>шт. розеток</w:t>
            </w:r>
          </w:p>
        </w:tc>
        <w:tc>
          <w:tcPr>
            <w:tcW w:w="992" w:type="dxa"/>
            <w:vAlign w:val="center"/>
          </w:tcPr>
          <w:p w:rsidR="00186899" w:rsidRPr="00236310" w:rsidRDefault="00664F46" w:rsidP="00C15A4F">
            <w:pPr>
              <w:jc w:val="center"/>
            </w:pPr>
            <w:r w:rsidRPr="00236310">
              <w:t>4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13.15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 xml:space="preserve">Предусмотреть заземление и </w:t>
            </w:r>
            <w:proofErr w:type="spellStart"/>
            <w:r w:rsidRPr="00236310">
              <w:t>молниезащиту</w:t>
            </w:r>
            <w:proofErr w:type="spellEnd"/>
            <w:r w:rsidRPr="00236310">
              <w:t xml:space="preserve"> объекта в соответствии с требованиями по безопасности согласно НД</w:t>
            </w:r>
            <w:r w:rsidR="005F6EFA">
              <w:t>, ПУЭ (7-е издание)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 w:rsidRPr="00236310">
              <w:t>13.16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r w:rsidRPr="00236310">
              <w:t>Габаритные размеры определяются в зависимости от требуемого оборудования и согласовываются с заказчиком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Pr="00236310" w:rsidRDefault="004D3DC3">
            <w:r>
              <w:t>14.</w:t>
            </w:r>
          </w:p>
        </w:tc>
        <w:tc>
          <w:tcPr>
            <w:tcW w:w="9133" w:type="dxa"/>
            <w:gridSpan w:val="3"/>
          </w:tcPr>
          <w:p w:rsidR="004D3DC3" w:rsidRPr="00236310" w:rsidRDefault="004D3DC3" w:rsidP="004D3DC3">
            <w:pPr>
              <w:jc w:val="center"/>
            </w:pPr>
            <w:r w:rsidRPr="004D3DC3">
              <w:t>Требования к электроснабжению и освещению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Default="004D3DC3">
            <w:r>
              <w:t>14.1.</w:t>
            </w:r>
          </w:p>
        </w:tc>
        <w:tc>
          <w:tcPr>
            <w:tcW w:w="9133" w:type="dxa"/>
            <w:gridSpan w:val="3"/>
          </w:tcPr>
          <w:p w:rsidR="004D3DC3" w:rsidRDefault="004D3DC3" w:rsidP="004D3DC3">
            <w:r>
              <w:t>Все электрооборудование должно быть выполнено на напряжение 380/220 В.</w:t>
            </w:r>
          </w:p>
          <w:p w:rsidR="004D3DC3" w:rsidRPr="005F6EFA" w:rsidRDefault="004D3DC3" w:rsidP="004D3DC3">
            <w:r>
              <w:t>Категория надежности электроснабжения – I</w:t>
            </w:r>
            <w:r w:rsidR="005F6EFA">
              <w:rPr>
                <w:lang w:val="en-US"/>
              </w:rPr>
              <w:t>II</w:t>
            </w:r>
            <w:r w:rsidR="005F6EFA">
              <w:t>.</w:t>
            </w:r>
          </w:p>
          <w:p w:rsidR="004D3DC3" w:rsidRDefault="004D3DC3" w:rsidP="004D3DC3">
            <w:r>
              <w:t xml:space="preserve">Питание станции насосной осуществляется </w:t>
            </w:r>
            <w:r w:rsidR="005F6EFA">
              <w:t>одним вводом</w:t>
            </w:r>
            <w:r>
              <w:t>.</w:t>
            </w:r>
          </w:p>
          <w:p w:rsidR="004D3DC3" w:rsidRDefault="004D3DC3" w:rsidP="004D3DC3">
            <w:r>
              <w:t>В помещении установки выполнить систему:</w:t>
            </w:r>
          </w:p>
          <w:p w:rsidR="004D3DC3" w:rsidRDefault="004D3DC3" w:rsidP="004D3DC3">
            <w:r>
              <w:t>- рабочего электроосвещения напряжением ~220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4D3DC3" w:rsidRDefault="004D3DC3" w:rsidP="004D3DC3">
            <w:r>
              <w:t>- аварийного электроосвещения напряжением ~220</w:t>
            </w:r>
            <w:proofErr w:type="gramStart"/>
            <w:r>
              <w:t xml:space="preserve"> В</w:t>
            </w:r>
            <w:proofErr w:type="gramEnd"/>
          </w:p>
          <w:p w:rsidR="004D3DC3" w:rsidRDefault="004D3DC3" w:rsidP="004D3DC3">
            <w:r>
              <w:t>- ремонтного освещения 12В.</w:t>
            </w:r>
          </w:p>
          <w:p w:rsidR="004D3DC3" w:rsidRDefault="004D3DC3" w:rsidP="004D3DC3">
            <w:r>
              <w:t xml:space="preserve">Силовую распределительную сеть и сеть освещения выполнить кабелем с медными жилами с изоляцией и в оболочке из поливинилхлорида не поддерживающей горение, с низким </w:t>
            </w:r>
            <w:proofErr w:type="spellStart"/>
            <w:r>
              <w:t>дым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газовыделением</w:t>
            </w:r>
            <w:proofErr w:type="spellEnd"/>
            <w:r>
              <w:t xml:space="preserve"> исполнения </w:t>
            </w:r>
            <w:proofErr w:type="spellStart"/>
            <w:r>
              <w:t>нг</w:t>
            </w:r>
            <w:proofErr w:type="spellEnd"/>
            <w:r>
              <w:t>-LS. Количество жил принять с учетом назначения (фазный, нулевой рабочий и нулевой защитный проводники). Выполнить монтаж осветительной сети в соответствии с требованиями седьмого издания ПУЭ.</w:t>
            </w:r>
          </w:p>
          <w:p w:rsidR="004D3DC3" w:rsidRDefault="004D3DC3" w:rsidP="004D3DC3">
            <w:r>
              <w:t xml:space="preserve">Выполнить освещение над входом согласно ВСН 34-91 и СП 52.13330.2011. </w:t>
            </w:r>
          </w:p>
          <w:p w:rsidR="004D3DC3" w:rsidRDefault="004D3DC3" w:rsidP="004D3DC3">
            <w:r>
              <w:t>Для освещения насосной применить светодиодные светильники, для наружного освещения использовать светильники климатического исполнения ХЛ</w:t>
            </w:r>
            <w:proofErr w:type="gramStart"/>
            <w:r>
              <w:t>1</w:t>
            </w:r>
            <w:proofErr w:type="gramEnd"/>
            <w:r>
              <w:t xml:space="preserve"> в защищенном исполнении и расположить над входом. </w:t>
            </w:r>
          </w:p>
          <w:p w:rsidR="004D3DC3" w:rsidRDefault="004D3DC3" w:rsidP="004D3DC3">
            <w:r>
              <w:t>Уровень освещенности помещений должен быть в соответствии с СП 52.13330.2011 и ВСН 34-91.</w:t>
            </w:r>
          </w:p>
          <w:p w:rsidR="004D3DC3" w:rsidRDefault="004D3DC3" w:rsidP="004D3DC3">
            <w:r>
              <w:t xml:space="preserve">Сети освещения должны быть защищены автоматическими выключателями с комбинированной защитой с устройством защитного отключения. </w:t>
            </w:r>
          </w:p>
          <w:p w:rsidR="004D3DC3" w:rsidRDefault="004D3DC3" w:rsidP="004D3DC3">
            <w:r>
              <w:t>Выполнить унифицированные кабельные вводы с уплотнениями при проходе кабелей через стены блоков согласно требованиям п. 2.19 ВНТП 01/87/04-84.</w:t>
            </w:r>
          </w:p>
          <w:p w:rsidR="004D3DC3" w:rsidRDefault="004D3DC3" w:rsidP="004D3DC3">
            <w:r>
              <w:t>Около кнопок управления установить таблички с надписями, указывающие операции для которых они предназначены – п. 2.2.14 ПТЭЭП.</w:t>
            </w:r>
          </w:p>
          <w:p w:rsidR="004D3DC3" w:rsidRDefault="004D3DC3" w:rsidP="004D3DC3">
            <w:r>
              <w:t xml:space="preserve">Предусмотреть основные защитные мероприятия по технике безопасности: </w:t>
            </w:r>
          </w:p>
          <w:p w:rsidR="004D3DC3" w:rsidRDefault="004D3DC3" w:rsidP="004D3DC3">
            <w:r>
              <w:t xml:space="preserve">- автоматическое отключение питания, </w:t>
            </w:r>
          </w:p>
          <w:p w:rsidR="004D3DC3" w:rsidRDefault="004D3DC3" w:rsidP="004D3DC3">
            <w:r>
              <w:t xml:space="preserve">- защитное заземление и уравнивание потенциалов. </w:t>
            </w:r>
          </w:p>
          <w:p w:rsidR="004D3DC3" w:rsidRDefault="004D3DC3" w:rsidP="004D3DC3">
            <w:r>
              <w:t>Для защиты персонала и оборудования от поражения электрическим током, от воздействия токов короткого замыкания, разрядов молнии, статического электричества, а также для уравнивания потенциалов выполнить надлежащие защитные мероприятия в соответствии с требованиями ПУЭ (седьмое издание) и др. нормативных документов.</w:t>
            </w:r>
          </w:p>
          <w:p w:rsidR="004D3DC3" w:rsidRDefault="004D3DC3" w:rsidP="004D3DC3">
            <w:r>
              <w:t>В соответствии с требованиями ПУЭ выполнить основную систему уравнивания потенциалов, соединяющую между собой следующие проводящие части:</w:t>
            </w:r>
          </w:p>
          <w:p w:rsidR="004D3DC3" w:rsidRDefault="004D3DC3" w:rsidP="004D3DC3">
            <w:r>
              <w:lastRenderedPageBreak/>
              <w:t>- защитные проводники (РЕ-проводники) питающих линий;</w:t>
            </w:r>
          </w:p>
          <w:p w:rsidR="004D3DC3" w:rsidRDefault="004D3DC3" w:rsidP="004D3DC3">
            <w:r>
              <w:t>- металлические трубы коммуникаций, входящих в блок;</w:t>
            </w:r>
          </w:p>
          <w:p w:rsidR="004D3DC3" w:rsidRDefault="004D3DC3" w:rsidP="004D3DC3">
            <w:r>
              <w:t>- металлические части каркаса блока;</w:t>
            </w:r>
          </w:p>
          <w:p w:rsidR="004D3DC3" w:rsidRDefault="004D3DC3" w:rsidP="004D3DC3">
            <w:r>
              <w:t>- металлические части системы вентиляции.</w:t>
            </w:r>
          </w:p>
          <w:p w:rsidR="004D3DC3" w:rsidRDefault="004D3DC3" w:rsidP="004D3DC3">
            <w:r>
              <w:t>Металлические корпуса технологического оборудования, корпуса электрооборудования, стальные трубы должны присоединяться к защитным проводникам, которые, в свою очередь присоединяются к наружному заземляющему устройству.</w:t>
            </w:r>
          </w:p>
          <w:p w:rsidR="004D3DC3" w:rsidRDefault="004D3DC3" w:rsidP="004D3DC3">
            <w:r>
              <w:t xml:space="preserve">Предусмотреть </w:t>
            </w:r>
            <w:proofErr w:type="spellStart"/>
            <w:r>
              <w:t>молниезащитные</w:t>
            </w:r>
            <w:proofErr w:type="spellEnd"/>
            <w:r>
              <w:t xml:space="preserve"> мероприятия в соответствии с РД 34.21.122-87 и СО 153-34.21.122-2003.</w:t>
            </w:r>
          </w:p>
          <w:p w:rsidR="004D3DC3" w:rsidRDefault="004D3DC3" w:rsidP="004D3DC3">
            <w:r>
              <w:t>Защита блока от прямых ударов молнии осуществляется:</w:t>
            </w:r>
          </w:p>
          <w:p w:rsidR="004D3DC3" w:rsidRDefault="004D3DC3" w:rsidP="004D3DC3">
            <w:proofErr w:type="gramStart"/>
            <w:r>
              <w:t xml:space="preserve">- использованием в качестве </w:t>
            </w:r>
            <w:proofErr w:type="spellStart"/>
            <w:r>
              <w:t>молниеприемника</w:t>
            </w:r>
            <w:proofErr w:type="spellEnd"/>
            <w:r>
              <w:t xml:space="preserve"> металлической кровли (при условии обеспечения непрерывной, надежной и долговечной связи ее с металлическим каркасом блока, а также при условии ее соответствия требованию п. 3.2.1.2.</w:t>
            </w:r>
            <w:proofErr w:type="gramEnd"/>
            <w:r>
              <w:t xml:space="preserve"> </w:t>
            </w:r>
            <w:proofErr w:type="gramStart"/>
            <w:r>
              <w:t xml:space="preserve">«Естественные </w:t>
            </w:r>
            <w:proofErr w:type="spellStart"/>
            <w:r>
              <w:t>молниеприемники</w:t>
            </w:r>
            <w:proofErr w:type="spellEnd"/>
            <w:r>
              <w:t>» СО 153-34.21.122-2003);</w:t>
            </w:r>
            <w:proofErr w:type="gramEnd"/>
          </w:p>
          <w:p w:rsidR="004D3DC3" w:rsidRDefault="004D3DC3" w:rsidP="004D3DC3">
            <w:r>
              <w:t xml:space="preserve">- присоединением металлоконструкций блока и технологического оборудования к заземлителю </w:t>
            </w:r>
            <w:proofErr w:type="spellStart"/>
            <w:r>
              <w:t>молниезащиты</w:t>
            </w:r>
            <w:proofErr w:type="spellEnd"/>
            <w:r>
              <w:t>.</w:t>
            </w:r>
          </w:p>
          <w:p w:rsidR="004D3DC3" w:rsidRDefault="004D3DC3" w:rsidP="004D3DC3">
            <w:r>
              <w:t xml:space="preserve">Защита от статического электричества технологического и вентиляционного оборудования, расположенного в блоке, выполнена посредством присоединения каркаса блока к заземляющему устройству в предусмотренных для этого заводом-изготовителем местах. Электрическую связь токоведущих корпусов технологического и вентиляционного оборудования с каркасом блока выполнить на заводе-изготовителе данного блока. Все металлические конструкции должны быть заземлены в двух точках. Внутри </w:t>
            </w:r>
            <w:proofErr w:type="gramStart"/>
            <w:r>
              <w:t>блок-бокса</w:t>
            </w:r>
            <w:proofErr w:type="gramEnd"/>
            <w:r>
              <w:t xml:space="preserve"> контур заземления должен быть видимым. Проводники защитного заземления должны иметь цветовое обозначение чередующимися продольными или поперечными полосами одинаковой ширины желтого и зеленого цвета (ПУЭ п. 1.1.29).</w:t>
            </w:r>
          </w:p>
          <w:p w:rsidR="004D3DC3" w:rsidRDefault="004D3DC3" w:rsidP="004D3DC3">
            <w:r>
              <w:t xml:space="preserve">Защитные и </w:t>
            </w:r>
            <w:proofErr w:type="spellStart"/>
            <w:r>
              <w:t>молниезащитные</w:t>
            </w:r>
            <w:proofErr w:type="spellEnd"/>
            <w:r>
              <w:t xml:space="preserve"> заземляющие устройства объединены.</w:t>
            </w:r>
          </w:p>
          <w:p w:rsidR="004D3DC3" w:rsidRDefault="004D3DC3" w:rsidP="004D3DC3">
            <w:r>
              <w:t xml:space="preserve">На всем электрооборудовании установить знаки «Опасность поражения электрическим током» в соответствии с ГОСТ </w:t>
            </w:r>
            <w:proofErr w:type="gramStart"/>
            <w:r>
              <w:t>Р</w:t>
            </w:r>
            <w:proofErr w:type="gramEnd"/>
            <w:r>
              <w:t xml:space="preserve"> 12.4.026-2001.</w:t>
            </w:r>
          </w:p>
          <w:p w:rsidR="004D3DC3" w:rsidRDefault="004D3DC3" w:rsidP="004D3DC3">
            <w:r>
              <w:t>На входных дверях предусмотреть таблички (ППБ 01-03 п.33), содержащие надписи:</w:t>
            </w:r>
          </w:p>
          <w:p w:rsidR="004D3DC3" w:rsidRDefault="004D3DC3" w:rsidP="004D3DC3">
            <w:r>
              <w:t>- наименование помещения;</w:t>
            </w:r>
          </w:p>
          <w:p w:rsidR="004D3DC3" w:rsidRDefault="004D3DC3" w:rsidP="004D3DC3">
            <w:r>
              <w:t>- категория помещения по пожарной опасности;</w:t>
            </w:r>
          </w:p>
          <w:p w:rsidR="004D3DC3" w:rsidRDefault="004D3DC3" w:rsidP="004D3DC3">
            <w:r>
              <w:t xml:space="preserve">- класс зоны по ПУЭ для помещения. </w:t>
            </w:r>
          </w:p>
          <w:p w:rsidR="004D3DC3" w:rsidRDefault="004D3DC3" w:rsidP="004D3DC3">
            <w:r>
              <w:t xml:space="preserve">Предусмотреть места (не менее двух по диагонали блока) для подключения проводников защитного заземления к внешнему контуру заземления через болтовое соединение с </w:t>
            </w:r>
            <w:proofErr w:type="spellStart"/>
            <w:r>
              <w:t>предусмотрением</w:t>
            </w:r>
            <w:proofErr w:type="spellEnd"/>
            <w:r>
              <w:t xml:space="preserve"> мер против ослабления контакта в местах, обозначенных символом «заземление» (ПУЭ п. 1.7.116).</w:t>
            </w:r>
          </w:p>
          <w:p w:rsidR="004D3DC3" w:rsidRDefault="004D3DC3" w:rsidP="004D3DC3">
            <w:r>
              <w:t>До начала изготовления блока предоставить на согласование заказчику комплект заводской конструкторской документации.</w:t>
            </w:r>
          </w:p>
          <w:p w:rsidR="004D3DC3" w:rsidRDefault="004D3DC3" w:rsidP="004D3DC3">
            <w:r>
              <w:t>В местах присоединения к заземляющему устройству предусмотреть опознавательный знак в соответствии с ПУЭ п. 1.7.118.</w:t>
            </w:r>
          </w:p>
          <w:p w:rsidR="004D3DC3" w:rsidRDefault="004D3DC3" w:rsidP="004D3DC3">
            <w:r>
              <w:t xml:space="preserve">Меры электробезопасности и пожарной безопасности согласно ПУЭ, ГОСТ </w:t>
            </w:r>
            <w:proofErr w:type="gramStart"/>
            <w:r>
              <w:t>Р</w:t>
            </w:r>
            <w:proofErr w:type="gramEnd"/>
            <w:r>
              <w:t xml:space="preserve"> 50571.3.</w:t>
            </w:r>
          </w:p>
          <w:p w:rsidR="004D3DC3" w:rsidRPr="00236310" w:rsidRDefault="004D3DC3" w:rsidP="004D3DC3">
            <w:r>
              <w:t>Для проходов проводников заземления через стены предусмотреть трубные технологические отверстия.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Default="008F2B65">
            <w:r>
              <w:lastRenderedPageBreak/>
              <w:t>15</w:t>
            </w:r>
          </w:p>
        </w:tc>
        <w:tc>
          <w:tcPr>
            <w:tcW w:w="9133" w:type="dxa"/>
            <w:gridSpan w:val="3"/>
          </w:tcPr>
          <w:p w:rsidR="004D3DC3" w:rsidRPr="00236310" w:rsidRDefault="008F2B65" w:rsidP="008F2B65">
            <w:pPr>
              <w:jc w:val="center"/>
            </w:pPr>
            <w:r w:rsidRPr="008F2B65">
              <w:t>Требования к автоматизации и сигнализации</w:t>
            </w:r>
          </w:p>
        </w:tc>
      </w:tr>
      <w:tr w:rsidR="004D3DC3" w:rsidRPr="00236310" w:rsidTr="00540C9E">
        <w:tc>
          <w:tcPr>
            <w:tcW w:w="756" w:type="dxa"/>
          </w:tcPr>
          <w:p w:rsidR="004D3DC3" w:rsidRDefault="008F2B65">
            <w:r>
              <w:t>15.1</w:t>
            </w:r>
          </w:p>
        </w:tc>
        <w:tc>
          <w:tcPr>
            <w:tcW w:w="9133" w:type="dxa"/>
            <w:gridSpan w:val="3"/>
          </w:tcPr>
          <w:p w:rsidR="008F2B65" w:rsidRDefault="008F2B65" w:rsidP="008F2B65">
            <w:r>
              <w:t xml:space="preserve">Объем автоматизации должен позволять эксплуатировать оборудование станции насосной без постоянного присутствия обслуживающего персонала. В объем поставки должны входить все средства автоматизации необходимые для обеспечения указанного объема автоматизации. </w:t>
            </w:r>
          </w:p>
          <w:p w:rsidR="008F2B65" w:rsidRDefault="008F2B65" w:rsidP="008F2B65">
            <w:r>
              <w:t>Контроль и управление станцией насосной осуществляется со щита управления, предусмотренного заводом изготовителем, который должен обеспечивать:</w:t>
            </w:r>
          </w:p>
          <w:p w:rsidR="008F2B65" w:rsidRDefault="008F2B65" w:rsidP="008F2B65">
            <w:r>
              <w:lastRenderedPageBreak/>
              <w:t></w:t>
            </w:r>
            <w:r>
              <w:tab/>
              <w:t>местное измерение и сигнализация предельных значений давления воды в трубопроводе на выходе насоса;</w:t>
            </w:r>
          </w:p>
          <w:p w:rsidR="008F2B65" w:rsidRDefault="008F2B65" w:rsidP="008F2B65">
            <w:r>
              <w:t></w:t>
            </w:r>
            <w:r>
              <w:tab/>
              <w:t>местное измерение расхода воды на выходе насоса;</w:t>
            </w:r>
          </w:p>
          <w:p w:rsidR="008F2B65" w:rsidRDefault="008F2B65" w:rsidP="008F2B65">
            <w:r>
              <w:t></w:t>
            </w:r>
            <w:r>
              <w:tab/>
              <w:t>местное (со щита) управление насосом;</w:t>
            </w:r>
          </w:p>
          <w:p w:rsidR="008F2B65" w:rsidRDefault="008F2B65" w:rsidP="008F2B65">
            <w:r>
              <w:t></w:t>
            </w:r>
            <w:r>
              <w:tab/>
              <w:t>измерение и сигнализация низкой температуры в блоке;</w:t>
            </w:r>
          </w:p>
          <w:p w:rsidR="008F2B65" w:rsidRDefault="008F2B65" w:rsidP="008F2B65">
            <w:r>
              <w:t></w:t>
            </w:r>
            <w:r>
              <w:tab/>
              <w:t>сигнализация несанкционированного входа в блок.</w:t>
            </w:r>
          </w:p>
          <w:p w:rsidR="008F2B65" w:rsidRDefault="008F2B65" w:rsidP="008F2B65">
            <w:r>
              <w:t xml:space="preserve">Разработчик-изготовитель </w:t>
            </w:r>
            <w:proofErr w:type="spellStart"/>
            <w:r>
              <w:t>блочно</w:t>
            </w:r>
            <w:proofErr w:type="spellEnd"/>
            <w:r>
              <w:t>-комплектного оборудования полностью оснащает поставляемой оборудование средствами КИП и А и локальной системой управления (ЛСУ) на заводе-изготовителе.</w:t>
            </w:r>
          </w:p>
          <w:p w:rsidR="008F2B65" w:rsidRDefault="008F2B65" w:rsidP="008F2B65">
            <w:r>
              <w:t>Блок должен быть укомплектован оборудованием КИП и автоматизации, трубными и кабельными проводками КИПиА.</w:t>
            </w:r>
          </w:p>
          <w:p w:rsidR="008F2B65" w:rsidRDefault="008F2B65" w:rsidP="008F2B65">
            <w:r>
              <w:t>Шкафы локальной системы управления (ЛСУ) разместить в удобном для обслуживания месте.</w:t>
            </w:r>
          </w:p>
          <w:p w:rsidR="008F2B65" w:rsidRDefault="008F2B65" w:rsidP="008F2B65">
            <w:r>
              <w:t>Выполнить ЛСУ с передачей параметров в систему автоматики верхнего уровня по RS-485 (</w:t>
            </w:r>
            <w:proofErr w:type="spellStart"/>
            <w:r>
              <w:t>Modbus</w:t>
            </w:r>
            <w:proofErr w:type="spellEnd"/>
            <w:r>
              <w:t xml:space="preserve"> RTU). В составе поставки включить лицензионные прикладные программные продукты для разработки, восстановления и диагностики комплектов систем автоматизации и вспомогательных систем.</w:t>
            </w:r>
          </w:p>
          <w:p w:rsidR="008F2B65" w:rsidRDefault="008F2B65" w:rsidP="008F2B65">
            <w:r>
              <w:t>В составе конструкторской документации предоставить открытые исходные программные коды, пароли доступа и алгоритмы управления, с комментариями по тексту.</w:t>
            </w:r>
          </w:p>
          <w:p w:rsidR="008F2B65" w:rsidRDefault="008F2B65" w:rsidP="008F2B65">
            <w:r>
              <w:t>Комплектная система автоматики насосной должна обеспечивать передачу всех параметров в систему автоматики верхнего уровня.</w:t>
            </w:r>
          </w:p>
          <w:p w:rsidR="008F2B65" w:rsidRDefault="008F2B65" w:rsidP="008F2B65">
            <w:r>
              <w:t>Тип применяемых приборов, должен быть согласован с Заказчиком.</w:t>
            </w:r>
          </w:p>
          <w:p w:rsidR="008F2B65" w:rsidRDefault="008F2B65" w:rsidP="008F2B65">
            <w:r>
              <w:t>Первичные преобразователи технологических параметров должны быть с жидкокристаллическими дисплеями и иметь аналогово-цифровой сигнал постоянного тока 4 20 мА на базе HART-протокола (предпочтительный).</w:t>
            </w:r>
          </w:p>
          <w:p w:rsidR="008F2B65" w:rsidRDefault="008F2B65" w:rsidP="008F2B65">
            <w:r>
              <w:t>Все преобразователи температуры должны устанавливаться в защитных гильзах и иметь подвижный штуцер крепления.</w:t>
            </w:r>
          </w:p>
          <w:p w:rsidR="008F2B65" w:rsidRDefault="008F2B65" w:rsidP="008F2B65">
            <w:r>
              <w:t>Подключения импульсных линий к датчикам давления и перепада давления предусмотреть запорную арматуру (шаровые краны, клапанные (вентильные) блоки).</w:t>
            </w:r>
          </w:p>
          <w:p w:rsidR="008F2B65" w:rsidRDefault="008F2B65" w:rsidP="008F2B65">
            <w:r>
              <w:t xml:space="preserve">Импульсные линии к приборам выполнять стальными трубами </w:t>
            </w:r>
            <w:r>
              <w:t xml:space="preserve"> 14х2 мм на рабочее давление до 10 МПа, </w:t>
            </w:r>
            <w:r>
              <w:t> 14х3 мм на рабочее давление свыше 10 МПа. Для импульсных линий применить ниппельные соединения под прокладку. Трубные проводки к КИПиА должны быть выполнены в соответствии СП 177.13330.2016 «Системы автоматизации».</w:t>
            </w:r>
          </w:p>
          <w:p w:rsidR="008F2B65" w:rsidRDefault="008F2B65" w:rsidP="008F2B65">
            <w:r>
              <w:t>Монтаж показывающих приборов и датчиков с жидкокристаллическими дисплеями должен обеспечить необходимую ориентацию в пространстве.</w:t>
            </w:r>
          </w:p>
          <w:p w:rsidR="008F2B65" w:rsidRDefault="008F2B65" w:rsidP="008F2B65">
            <w:r>
              <w:t>Манометры должны быть опломбированы, иметь заводской номер.</w:t>
            </w:r>
          </w:p>
          <w:p w:rsidR="008F2B65" w:rsidRDefault="008F2B65" w:rsidP="008F2B65">
            <w:r>
              <w:t xml:space="preserve">Предусмотреть конструкции для прокладки и защиты кабеля КИПиА внутри </w:t>
            </w:r>
            <w:proofErr w:type="gramStart"/>
            <w:r>
              <w:t>блок-бокса</w:t>
            </w:r>
            <w:proofErr w:type="gramEnd"/>
            <w:r>
              <w:t>, до границы здания.</w:t>
            </w:r>
          </w:p>
          <w:p w:rsidR="008F2B65" w:rsidRDefault="008F2B65" w:rsidP="008F2B65">
            <w:r>
              <w:t xml:space="preserve">Предусмотреть внутреннюю разводку кабелей по лоткам или кабельным каналам внутри блока до шкафа ЛСУ. От кабельного канала (лотка) до датчика предусмотреть </w:t>
            </w:r>
            <w:proofErr w:type="gramStart"/>
            <w:r>
              <w:t>прорезиненный</w:t>
            </w:r>
            <w:proofErr w:type="gramEnd"/>
            <w:r>
              <w:t xml:space="preserve"> </w:t>
            </w:r>
            <w:proofErr w:type="spellStart"/>
            <w:r>
              <w:t>металлорукав</w:t>
            </w:r>
            <w:proofErr w:type="spellEnd"/>
            <w:r>
              <w:t xml:space="preserve">. Кабельные вводы коробок, приборов, клапанов должны быть под небронированные кабели и обеспечивать герметичное присоединение к </w:t>
            </w:r>
            <w:proofErr w:type="spellStart"/>
            <w:r>
              <w:t>металлорукавам</w:t>
            </w:r>
            <w:proofErr w:type="spellEnd"/>
            <w:r>
              <w:t>.</w:t>
            </w:r>
          </w:p>
          <w:p w:rsidR="008F2B65" w:rsidRDefault="008F2B65" w:rsidP="008F2B65">
            <w:r>
              <w:t xml:space="preserve">Все средства измерений должны быть сертифицированы в России, иметь действующие свидетельства об утверждении типа средств измерений. </w:t>
            </w:r>
          </w:p>
          <w:p w:rsidR="008F2B65" w:rsidRDefault="008F2B65" w:rsidP="008F2B65">
            <w:r>
              <w:t xml:space="preserve">Все средства измерений должны быть </w:t>
            </w:r>
            <w:proofErr w:type="spellStart"/>
            <w:r>
              <w:t>поверены</w:t>
            </w:r>
            <w:proofErr w:type="spellEnd"/>
            <w:r>
              <w:t xml:space="preserve"> или откалиброваны, срок действия поверки или калибровки на момент сдачи оборудования заказчику должен истекать не ранее чем через 2/3 от </w:t>
            </w:r>
            <w:proofErr w:type="spellStart"/>
            <w:r>
              <w:t>межповерочного</w:t>
            </w:r>
            <w:proofErr w:type="spellEnd"/>
            <w:r>
              <w:t xml:space="preserve"> интервала. Свидетельства об утверждении типа средства измерения, описание типов и свидетельства о поверке или калибровки должны быть включены в комплект сопроводительной документации к блоку.</w:t>
            </w:r>
          </w:p>
          <w:p w:rsidR="008F2B65" w:rsidRDefault="008F2B65" w:rsidP="008F2B65">
            <w:r>
              <w:lastRenderedPageBreak/>
              <w:t>Степень защиты оболочки контрольно-измерительных приборов, распределительных коробок и т.д., вклю</w:t>
            </w:r>
            <w:r w:rsidR="00540C9E">
              <w:t>чая кабельные вводы и заглушки.</w:t>
            </w:r>
          </w:p>
          <w:p w:rsidR="008F2B65" w:rsidRDefault="008F2B65" w:rsidP="008F2B65">
            <w:r>
              <w:t>Все применяемые СИ, независимо от страны изготовителя, должны иметь:</w:t>
            </w:r>
          </w:p>
          <w:p w:rsidR="008F2B65" w:rsidRDefault="008F2B65" w:rsidP="008F2B65">
            <w:r>
              <w:t>- свидетельства об утверждении типа СИ, выданные Федеральным агентством по техническому регулированию и метрологии;</w:t>
            </w:r>
          </w:p>
          <w:p w:rsidR="008F2B65" w:rsidRDefault="008F2B65" w:rsidP="008F2B65">
            <w:r>
              <w:t xml:space="preserve">- сертификаты соответствия по </w:t>
            </w:r>
            <w:proofErr w:type="spellStart"/>
            <w:r>
              <w:t>взрывозащите</w:t>
            </w:r>
            <w:proofErr w:type="spellEnd"/>
            <w:r>
              <w:t>;</w:t>
            </w:r>
          </w:p>
          <w:p w:rsidR="008F2B65" w:rsidRDefault="008F2B65" w:rsidP="008F2B65">
            <w:r>
              <w:t>- методики поверки;</w:t>
            </w:r>
          </w:p>
          <w:p w:rsidR="008F2B65" w:rsidRDefault="008F2B65" w:rsidP="008F2B65">
            <w:r>
              <w:t>- руководство по эксплуатации на русском языке;</w:t>
            </w:r>
          </w:p>
          <w:p w:rsidR="008F2B65" w:rsidRDefault="008F2B65" w:rsidP="008F2B65">
            <w:r>
              <w:t>- паспорта с отметкой о проведении первичной поверки.</w:t>
            </w:r>
          </w:p>
          <w:p w:rsidR="008F2B65" w:rsidRDefault="008F2B65" w:rsidP="008F2B65">
            <w:r>
              <w:t xml:space="preserve">Монтаж средств автоматизации должен </w:t>
            </w:r>
            <w:proofErr w:type="gramStart"/>
            <w:r>
              <w:t>производится</w:t>
            </w:r>
            <w:proofErr w:type="gramEnd"/>
            <w:r>
              <w:t xml:space="preserve"> в соответствии с действующими ПУЭ и СП 177.13330.2016. Корпуса первичных датчиков должны быть заземлены.</w:t>
            </w:r>
          </w:p>
          <w:p w:rsidR="008F2B65" w:rsidRDefault="008F2B65" w:rsidP="008F2B65">
            <w:r>
              <w:t xml:space="preserve">В ограждающих конструкциях блока в местах прохода кабелей, предусмотреть унифицированные кабельные вводы </w:t>
            </w:r>
            <w:proofErr w:type="spellStart"/>
            <w:r>
              <w:t>Roxtec</w:t>
            </w:r>
            <w:proofErr w:type="spellEnd"/>
            <w:r>
              <w:t xml:space="preserve"> с уплотнениями при проходе кабелей через стены </w:t>
            </w:r>
            <w:proofErr w:type="gramStart"/>
            <w:r>
              <w:t>согласно требований</w:t>
            </w:r>
            <w:proofErr w:type="gramEnd"/>
            <w:r>
              <w:t xml:space="preserve"> ВНТП 01/87/04-84 п.2.19.</w:t>
            </w:r>
          </w:p>
          <w:p w:rsidR="008F2B65" w:rsidRDefault="008F2B65" w:rsidP="008F2B65">
            <w:r>
              <w:t>При монтаже оборудования (щиты, КИП и т.д.) предусмотреть мероприятия для снижения вибраций до допустимых значений.</w:t>
            </w:r>
          </w:p>
          <w:p w:rsidR="008F2B65" w:rsidRDefault="008F2B65" w:rsidP="008F2B65">
            <w:r>
              <w:t xml:space="preserve">В стоимость поставки изделия включить </w:t>
            </w:r>
            <w:proofErr w:type="gramStart"/>
            <w:r>
              <w:t>шеф-монтаж</w:t>
            </w:r>
            <w:proofErr w:type="gramEnd"/>
            <w:r>
              <w:t>, и ПНР на объекте Заказчика.</w:t>
            </w:r>
          </w:p>
          <w:p w:rsidR="004D3DC3" w:rsidRPr="00236310" w:rsidRDefault="008F2B65" w:rsidP="008F2B65">
            <w:r>
              <w:t xml:space="preserve">Кабельные проводки выполнить контрольными кабелями с медными жилами, не распространяющими горение с пониженным выделением дыма и газа типа </w:t>
            </w:r>
            <w:proofErr w:type="spellStart"/>
            <w:r>
              <w:t>нг</w:t>
            </w:r>
            <w:proofErr w:type="spellEnd"/>
            <w:r>
              <w:t>-</w:t>
            </w:r>
            <w:proofErr w:type="gramStart"/>
            <w:r>
              <w:t>LS</w:t>
            </w:r>
            <w:proofErr w:type="gramEnd"/>
            <w:r>
              <w:t xml:space="preserve">. Используемые кабели должны иметь соответствующее климатическое исполнение.  </w:t>
            </w:r>
          </w:p>
        </w:tc>
      </w:tr>
      <w:tr w:rsidR="008F2B65" w:rsidRPr="00236310" w:rsidTr="00540C9E">
        <w:tc>
          <w:tcPr>
            <w:tcW w:w="756" w:type="dxa"/>
          </w:tcPr>
          <w:p w:rsidR="008F2B65" w:rsidRDefault="00540C9E">
            <w:r>
              <w:lastRenderedPageBreak/>
              <w:t>16.</w:t>
            </w:r>
          </w:p>
        </w:tc>
        <w:tc>
          <w:tcPr>
            <w:tcW w:w="9133" w:type="dxa"/>
            <w:gridSpan w:val="3"/>
          </w:tcPr>
          <w:p w:rsidR="008F2B65" w:rsidRPr="00236310" w:rsidRDefault="00540C9E" w:rsidP="00540C9E">
            <w:pPr>
              <w:jc w:val="center"/>
            </w:pPr>
            <w:r w:rsidRPr="00540C9E">
              <w:t>Требования к отоплению и вентиляции</w:t>
            </w:r>
          </w:p>
        </w:tc>
      </w:tr>
      <w:tr w:rsidR="008F2B65" w:rsidRPr="00236310" w:rsidTr="00540C9E">
        <w:tc>
          <w:tcPr>
            <w:tcW w:w="756" w:type="dxa"/>
          </w:tcPr>
          <w:p w:rsidR="008F2B65" w:rsidRDefault="00540C9E">
            <w:r>
              <w:t>16.1</w:t>
            </w:r>
          </w:p>
        </w:tc>
        <w:tc>
          <w:tcPr>
            <w:tcW w:w="9133" w:type="dxa"/>
            <w:gridSpan w:val="3"/>
          </w:tcPr>
          <w:p w:rsidR="00540C9E" w:rsidRDefault="00540C9E" w:rsidP="00540C9E">
            <w:r>
              <w:t xml:space="preserve">Отопление и вентиляцию выполнить в соответствии с нормами и правилами:                     СП 60.13330.2016 «Отопление, вентиляция и кондиционирование воздуха», СП 7.13130.2013 «Отопление, вентиляция и кондиционирование. Требования пожарной безопасности», Федерального закона от 22 июля 2008 г. №123-Ф3 «Технический регламент о требованиях пожарной безопасности», Федерального закона от 30 декабря 2009 г. №384-ФЗ «Технический регламент о безопасности зданий и сооружений». ВНТП 01/87/04-84 «Объекты газовой и нефтяной промышленности, выполненные с применением блочных и </w:t>
            </w:r>
            <w:proofErr w:type="spellStart"/>
            <w:r>
              <w:t>блочно</w:t>
            </w:r>
            <w:proofErr w:type="spellEnd"/>
            <w:r>
              <w:t>-комплектных устройств. Нормы технологического проектирования», технологического задания.</w:t>
            </w:r>
          </w:p>
          <w:p w:rsidR="00540C9E" w:rsidRDefault="00540C9E" w:rsidP="00540C9E">
            <w:r>
              <w:t>Расчётная температура наружного воздуха для проектирования отопления и вентиляции в холодный период – минус 47 °С.</w:t>
            </w:r>
          </w:p>
          <w:p w:rsidR="00540C9E" w:rsidRDefault="00540C9E" w:rsidP="00540C9E">
            <w:proofErr w:type="gramStart"/>
            <w:r>
              <w:t xml:space="preserve">Отопление помещения выполнить электрическим, рассчитанное на автоматическое поддержание температуры внутреннего воздуха плюс 10 </w:t>
            </w:r>
            <w:r w:rsidRPr="00540C9E">
              <w:rPr>
                <w:vertAlign w:val="superscript"/>
              </w:rPr>
              <w:t>0</w:t>
            </w:r>
            <w:r>
              <w:t xml:space="preserve">С, с возможностью повышения температуры до плюс 16 </w:t>
            </w:r>
            <w:r w:rsidRPr="00540C9E">
              <w:rPr>
                <w:vertAlign w:val="superscript"/>
              </w:rPr>
              <w:t>0</w:t>
            </w:r>
            <w:r>
              <w:t xml:space="preserve">С на период проведения ремонтных работ в холодный период года, нагревательные приборы – электрические радиаторы, имеющие уровень защиты от поражения током класса и температуру на теплоотдающей поверхности не более 130 </w:t>
            </w:r>
            <w:r w:rsidRPr="00540C9E">
              <w:rPr>
                <w:vertAlign w:val="superscript"/>
              </w:rPr>
              <w:t>0</w:t>
            </w:r>
            <w:r>
              <w:t>С, с автоматическим регулированием температуры теплоотдающей поверхности нагревательного элемента в</w:t>
            </w:r>
            <w:proofErr w:type="gramEnd"/>
            <w:r>
              <w:t xml:space="preserve"> зависимости от температуры воздуха в помещении. Система отопления должна обеспечивать нормируемую температуру внутреннего воздуха с учетом </w:t>
            </w:r>
            <w:proofErr w:type="spellStart"/>
            <w:r>
              <w:t>теплопотерь</w:t>
            </w:r>
            <w:proofErr w:type="spellEnd"/>
            <w:r>
              <w:t xml:space="preserve"> через строительные конструкции. Степень защиты электрических обогревателей принять не ниже IP</w:t>
            </w:r>
            <w:r w:rsidR="00F60633" w:rsidRPr="00EA4019">
              <w:t>56</w:t>
            </w:r>
            <w:r>
              <w:t>.</w:t>
            </w:r>
          </w:p>
          <w:p w:rsidR="000B5DCD" w:rsidRPr="00EA4019" w:rsidRDefault="000B5DCD" w:rsidP="00540C9E">
            <w:r>
              <w:t>Предусмотреть автоматическое отключение питания электрического отопления в случае попадания влаги на токоведущие элементы настенных обогревателей.</w:t>
            </w:r>
          </w:p>
          <w:p w:rsidR="00540C9E" w:rsidRDefault="00540C9E" w:rsidP="00540C9E">
            <w:r>
              <w:t>В помещении блока предусмотреть вытяжную вентиляцию из верхней зоны через дефлектор, рассчитанную на однократный (за один час) воздухообмен. Узлы прохода через покрытия предусмотреть с утепленным клапаном и кольцом для сбора конденсата (отвод конденсата в переносную емкость). Предусмотреть возможность открывания клапана с пола помещений.</w:t>
            </w:r>
          </w:p>
          <w:p w:rsidR="00540C9E" w:rsidRDefault="00540C9E" w:rsidP="00540C9E">
            <w:r>
              <w:t xml:space="preserve">Приток воздуха через жалюзийные решетки с утепленным клапаном, установленным </w:t>
            </w:r>
            <w:r>
              <w:lastRenderedPageBreak/>
              <w:t>в верхней части помещения.</w:t>
            </w:r>
          </w:p>
          <w:p w:rsidR="00540C9E" w:rsidRDefault="00540C9E" w:rsidP="00540C9E">
            <w:r>
              <w:t xml:space="preserve">Низ воздухозаборных решеток принять не ниже 2 м от уровня земли. </w:t>
            </w:r>
          </w:p>
          <w:p w:rsidR="00540C9E" w:rsidRDefault="00540C9E" w:rsidP="00540C9E">
            <w:r>
              <w:t>Для предотвращения потерь тепла при неработающих системах механической вентиляции предусмотреть установку обратного клапана.</w:t>
            </w:r>
          </w:p>
          <w:p w:rsidR="008F2B65" w:rsidRPr="00236310" w:rsidRDefault="00540C9E" w:rsidP="00540C9E">
            <w:r>
              <w:t>Монтаж систем вентиляции вести согласно СП 73.13330.2016.</w:t>
            </w:r>
          </w:p>
        </w:tc>
      </w:tr>
      <w:tr w:rsidR="008F2B65" w:rsidRPr="00236310" w:rsidTr="00540C9E">
        <w:tc>
          <w:tcPr>
            <w:tcW w:w="756" w:type="dxa"/>
          </w:tcPr>
          <w:p w:rsidR="008F2B65" w:rsidRDefault="00540C9E">
            <w:r>
              <w:lastRenderedPageBreak/>
              <w:t>17</w:t>
            </w:r>
          </w:p>
        </w:tc>
        <w:tc>
          <w:tcPr>
            <w:tcW w:w="9133" w:type="dxa"/>
            <w:gridSpan w:val="3"/>
          </w:tcPr>
          <w:p w:rsidR="008F2B65" w:rsidRPr="00236310" w:rsidRDefault="00540C9E" w:rsidP="00540C9E">
            <w:pPr>
              <w:jc w:val="center"/>
            </w:pPr>
            <w:r w:rsidRPr="00540C9E">
              <w:t>Требования к документации</w:t>
            </w:r>
          </w:p>
        </w:tc>
      </w:tr>
      <w:tr w:rsidR="008F2B65" w:rsidRPr="00236310" w:rsidTr="00540C9E">
        <w:tc>
          <w:tcPr>
            <w:tcW w:w="756" w:type="dxa"/>
          </w:tcPr>
          <w:p w:rsidR="008F2B65" w:rsidRDefault="00540C9E">
            <w:r>
              <w:t>17.1</w:t>
            </w:r>
          </w:p>
        </w:tc>
        <w:tc>
          <w:tcPr>
            <w:tcW w:w="9133" w:type="dxa"/>
            <w:gridSpan w:val="3"/>
          </w:tcPr>
          <w:p w:rsidR="00540C9E" w:rsidRDefault="00540C9E" w:rsidP="00540C9E">
            <w:r>
              <w:t>До начала изготовления блока предоставить на согласование заказчику комплект заводской конструкторской документации.</w:t>
            </w:r>
          </w:p>
          <w:p w:rsidR="00540C9E" w:rsidRDefault="00540C9E" w:rsidP="00540C9E">
            <w:r>
              <w:t>В объем поставки должны входить:</w:t>
            </w:r>
          </w:p>
          <w:p w:rsidR="00540C9E" w:rsidRDefault="00540C9E" w:rsidP="00540C9E">
            <w:r>
              <w:t></w:t>
            </w:r>
            <w:r>
              <w:tab/>
              <w:t>конструкторская документация со схемой нагрузок на фундаменты;</w:t>
            </w:r>
          </w:p>
          <w:p w:rsidR="00540C9E" w:rsidRDefault="00540C9E" w:rsidP="00540C9E">
            <w:r>
              <w:t></w:t>
            </w:r>
            <w:r>
              <w:tab/>
              <w:t>разрешительная документация (лицензия на проектирование и изготовление выпускаемой продукции, сертификат пожарной безопасности материалов и т.д.);</w:t>
            </w:r>
          </w:p>
          <w:p w:rsidR="00540C9E" w:rsidRDefault="00540C9E" w:rsidP="00540C9E">
            <w:r>
              <w:t></w:t>
            </w:r>
            <w:r>
              <w:tab/>
              <w:t>эксплуатационная документация.</w:t>
            </w:r>
          </w:p>
          <w:p w:rsidR="00540C9E" w:rsidRDefault="00540C9E" w:rsidP="00540C9E">
            <w:r>
              <w:t>Перечни и формы выше перечисленной документации необходимо согласовать с Заказчиком. Срок предоставления конструкторской документации Поставщиком определяется Заказчиком.</w:t>
            </w:r>
          </w:p>
          <w:p w:rsidR="00540C9E" w:rsidRDefault="00540C9E" w:rsidP="00540C9E">
            <w:r>
              <w:t>В разрабатываемой заводом-изготовителем конструкторской документации обязательно указание:</w:t>
            </w:r>
          </w:p>
          <w:p w:rsidR="00540C9E" w:rsidRDefault="00540C9E" w:rsidP="00540C9E">
            <w:r>
              <w:t></w:t>
            </w:r>
            <w:r>
              <w:tab/>
              <w:t>привязок оборудования, всех технологических трубопроводов;</w:t>
            </w:r>
          </w:p>
          <w:p w:rsidR="00540C9E" w:rsidRDefault="00540C9E" w:rsidP="00540C9E">
            <w:r>
              <w:t></w:t>
            </w:r>
            <w:r>
              <w:tab/>
              <w:t>диаметров, толщин стенок и материала трубопроводов;</w:t>
            </w:r>
          </w:p>
          <w:p w:rsidR="00540C9E" w:rsidRDefault="00540C9E" w:rsidP="00540C9E">
            <w:r>
              <w:t></w:t>
            </w:r>
            <w:r>
              <w:tab/>
              <w:t>назначение каждого трубопровода.</w:t>
            </w:r>
          </w:p>
          <w:p w:rsidR="00540C9E" w:rsidRDefault="00540C9E" w:rsidP="00540C9E">
            <w:r>
              <w:t></w:t>
            </w:r>
            <w:r>
              <w:tab/>
              <w:t>допустимых нагрузок на фланцы блока от внешней обвязки.</w:t>
            </w:r>
          </w:p>
          <w:p w:rsidR="00540C9E" w:rsidRDefault="00540C9E" w:rsidP="00540C9E">
            <w:r>
              <w:t></w:t>
            </w:r>
            <w:r>
              <w:tab/>
              <w:t>характеристик отопительно-вентиляционного оборудования;</w:t>
            </w:r>
          </w:p>
          <w:p w:rsidR="00540C9E" w:rsidRDefault="00540C9E" w:rsidP="00540C9E">
            <w:r>
              <w:t></w:t>
            </w:r>
            <w:r>
              <w:tab/>
              <w:t>тепловых нагрузок на отопление и вентиляцию.</w:t>
            </w:r>
          </w:p>
          <w:p w:rsidR="00540C9E" w:rsidRDefault="00540C9E" w:rsidP="00540C9E">
            <w:r>
              <w:t>Импортное оборудование и инструмент должны иметь техническую документацию производителя, в том числе и на русском языке.</w:t>
            </w:r>
          </w:p>
          <w:p w:rsidR="008F2B65" w:rsidRPr="00236310" w:rsidRDefault="00540C9E" w:rsidP="00540C9E">
            <w:r>
              <w:t>Предоставить полный пакет документации на русском языке и в электронном виде (на внешних носителях). Представленная документация должна соответствовать требованиям ГОСТ 34.603-92 и РД 50-34.698-90.</w:t>
            </w:r>
          </w:p>
        </w:tc>
      </w:tr>
      <w:tr w:rsidR="00540C9E" w:rsidRPr="00236310" w:rsidTr="00540C9E">
        <w:tc>
          <w:tcPr>
            <w:tcW w:w="756" w:type="dxa"/>
          </w:tcPr>
          <w:p w:rsidR="00540C9E" w:rsidRDefault="0085401D">
            <w:r>
              <w:t>18</w:t>
            </w:r>
          </w:p>
        </w:tc>
        <w:tc>
          <w:tcPr>
            <w:tcW w:w="9133" w:type="dxa"/>
            <w:gridSpan w:val="3"/>
          </w:tcPr>
          <w:p w:rsidR="00540C9E" w:rsidRPr="00236310" w:rsidRDefault="0085401D" w:rsidP="0085401D">
            <w:pPr>
              <w:jc w:val="center"/>
            </w:pPr>
            <w:r w:rsidRPr="0085401D">
              <w:t>Требования к изготовлению и комплекту поставки</w:t>
            </w:r>
          </w:p>
        </w:tc>
      </w:tr>
      <w:tr w:rsidR="00540C9E" w:rsidRPr="00236310" w:rsidTr="00540C9E">
        <w:tc>
          <w:tcPr>
            <w:tcW w:w="756" w:type="dxa"/>
          </w:tcPr>
          <w:p w:rsidR="00540C9E" w:rsidRDefault="00540C9E"/>
        </w:tc>
        <w:tc>
          <w:tcPr>
            <w:tcW w:w="9133" w:type="dxa"/>
            <w:gridSpan w:val="3"/>
          </w:tcPr>
          <w:p w:rsidR="0085401D" w:rsidRDefault="0085401D" w:rsidP="0085401D">
            <w:r>
              <w:t>Изготовление, поставка и строительство станции насосной должны быть обеспечены в сроки согласно поэтапному календарному графику выполнения работ, согласованному с Заказчиком.</w:t>
            </w:r>
          </w:p>
          <w:p w:rsidR="0085401D" w:rsidRDefault="0085401D" w:rsidP="0085401D">
            <w:r>
              <w:t>Сроки изготовления определяются при заключении договора с Заказчиком.</w:t>
            </w:r>
          </w:p>
          <w:p w:rsidR="0085401D" w:rsidRDefault="0085401D" w:rsidP="0085401D">
            <w:r>
              <w:t>В объем работ поставщика входит:</w:t>
            </w:r>
          </w:p>
          <w:p w:rsidR="0085401D" w:rsidRDefault="0085401D" w:rsidP="0085401D">
            <w:r>
              <w:t></w:t>
            </w:r>
            <w:r>
              <w:tab/>
              <w:t>предоставление конструкторской документации;</w:t>
            </w:r>
          </w:p>
          <w:p w:rsidR="0085401D" w:rsidRDefault="0085401D" w:rsidP="0085401D">
            <w:r>
              <w:t></w:t>
            </w:r>
            <w:r>
              <w:tab/>
              <w:t>изготовление и комплектация технологическим и инженерным оборудованием;</w:t>
            </w:r>
          </w:p>
          <w:p w:rsidR="0085401D" w:rsidRDefault="0085401D" w:rsidP="0085401D">
            <w:r>
              <w:t></w:t>
            </w:r>
            <w:r>
              <w:tab/>
              <w:t>поставка на место монтажа;</w:t>
            </w:r>
          </w:p>
          <w:p w:rsidR="0085401D" w:rsidRDefault="0085401D" w:rsidP="0085401D">
            <w:r>
              <w:t></w:t>
            </w:r>
            <w:r>
              <w:tab/>
            </w:r>
            <w:proofErr w:type="gramStart"/>
            <w:r>
              <w:t>шеф-монтаж</w:t>
            </w:r>
            <w:proofErr w:type="gramEnd"/>
            <w:r>
              <w:t>;</w:t>
            </w:r>
          </w:p>
          <w:p w:rsidR="0085401D" w:rsidRDefault="0085401D" w:rsidP="0085401D">
            <w:r>
              <w:t></w:t>
            </w:r>
            <w:r>
              <w:tab/>
              <w:t>пуско-наладочные работы;</w:t>
            </w:r>
          </w:p>
          <w:p w:rsidR="0085401D" w:rsidRDefault="0085401D" w:rsidP="0085401D">
            <w:r>
              <w:t></w:t>
            </w:r>
            <w:r>
              <w:tab/>
              <w:t>запуск в эксплуатацию.</w:t>
            </w:r>
          </w:p>
          <w:p w:rsidR="0085401D" w:rsidRDefault="0085401D" w:rsidP="0085401D">
            <w:r>
              <w:t xml:space="preserve">Предприятие-поставщик КД на станцию, в срок не позднее 14 календарных дней, с момента получения уведомления о победе в тендере, должно предоставить проектной организации задание на проектирование фундаментов под блок с исчерпывающими исходными данными. </w:t>
            </w:r>
          </w:p>
          <w:p w:rsidR="0085401D" w:rsidRDefault="0085401D" w:rsidP="0085401D">
            <w:r>
              <w:t>Задание должно включать в себя:</w:t>
            </w:r>
          </w:p>
          <w:p w:rsidR="0085401D" w:rsidRDefault="0085401D" w:rsidP="0085401D">
            <w:r>
              <w:t></w:t>
            </w:r>
            <w:r>
              <w:tab/>
              <w:t xml:space="preserve">схемы </w:t>
            </w:r>
            <w:proofErr w:type="spellStart"/>
            <w:r>
              <w:t>опирания</w:t>
            </w:r>
            <w:proofErr w:type="spellEnd"/>
            <w:r>
              <w:t xml:space="preserve"> блока, входной площадки обслуживания на фундаменты (количество точек </w:t>
            </w:r>
            <w:proofErr w:type="spellStart"/>
            <w:r>
              <w:t>опирания</w:t>
            </w:r>
            <w:proofErr w:type="spellEnd"/>
            <w:r>
              <w:t>, их привязка);</w:t>
            </w:r>
          </w:p>
          <w:p w:rsidR="0085401D" w:rsidRDefault="0085401D" w:rsidP="0085401D">
            <w:r>
              <w:t></w:t>
            </w:r>
            <w:r>
              <w:tab/>
              <w:t xml:space="preserve">вид крепления блока, входной площадки обслуживания к фундаментам (анкерными болтами или </w:t>
            </w:r>
            <w:proofErr w:type="gramStart"/>
            <w:r>
              <w:t>сварное</w:t>
            </w:r>
            <w:proofErr w:type="gramEnd"/>
            <w:r>
              <w:t xml:space="preserve"> к закладным деталям или ростверку);</w:t>
            </w:r>
          </w:p>
          <w:p w:rsidR="0085401D" w:rsidRDefault="0085401D" w:rsidP="0085401D">
            <w:r>
              <w:t></w:t>
            </w:r>
            <w:r>
              <w:tab/>
              <w:t>для болтового крепления – диаметр отверстий под болты в основании блока, схема расположения отверстий, требуемая длина выступающей части болтов;</w:t>
            </w:r>
          </w:p>
          <w:p w:rsidR="0085401D" w:rsidRDefault="0085401D" w:rsidP="0085401D">
            <w:r>
              <w:lastRenderedPageBreak/>
              <w:t></w:t>
            </w:r>
            <w:r>
              <w:tab/>
              <w:t>величины нагрузок (вертикальных и горизонтальных), передающихся на фундамент в точках крепления, указать вид учтенных нагрузок (собственный вес и т.д.);</w:t>
            </w:r>
          </w:p>
          <w:p w:rsidR="0085401D" w:rsidRDefault="0085401D" w:rsidP="0085401D">
            <w:r>
              <w:t></w:t>
            </w:r>
            <w:r>
              <w:tab/>
              <w:t>отметки верха ростверка;</w:t>
            </w:r>
          </w:p>
          <w:p w:rsidR="0085401D" w:rsidRDefault="0085401D" w:rsidP="0085401D">
            <w:r>
              <w:t></w:t>
            </w:r>
            <w:r>
              <w:tab/>
              <w:t>план блока с расположением входов и выходов, мест вводов инженерных сетей, силовых и контрольных кабелей;</w:t>
            </w:r>
          </w:p>
          <w:p w:rsidR="0085401D" w:rsidRDefault="0085401D" w:rsidP="0085401D">
            <w:r>
              <w:t></w:t>
            </w:r>
            <w:r>
              <w:tab/>
              <w:t>высоту основания блока, входной площадки обслуживания от опорных поверхностей до чистого пол блока;</w:t>
            </w:r>
          </w:p>
          <w:p w:rsidR="0085401D" w:rsidRDefault="0085401D" w:rsidP="0085401D">
            <w:r>
              <w:t></w:t>
            </w:r>
            <w:r>
              <w:tab/>
              <w:t>допустимые нагрузки на патрубки.</w:t>
            </w:r>
          </w:p>
          <w:p w:rsidR="0085401D" w:rsidRDefault="0085401D" w:rsidP="0085401D">
            <w:r>
              <w:t>Станция насосн</w:t>
            </w:r>
            <w:r w:rsidR="00332F0D">
              <w:t>ой</w:t>
            </w:r>
            <w:r>
              <w:t xml:space="preserve"> должна поставляться со всей необходимой трубопроводной обвязкой, фитингами, запорной арматурой и опорами.</w:t>
            </w:r>
          </w:p>
          <w:p w:rsidR="0085401D" w:rsidRDefault="0085401D" w:rsidP="0085401D">
            <w:r>
              <w:t>В собранном виде станция представляет собой блок со всеми системами жизнеобеспечения, штуцерами для осуществления присоединения внутриплощадочных сетей.</w:t>
            </w:r>
          </w:p>
          <w:p w:rsidR="0085401D" w:rsidRDefault="00332F0D" w:rsidP="0085401D">
            <w:r>
              <w:t>С</w:t>
            </w:r>
            <w:r w:rsidRPr="00332F0D">
              <w:t xml:space="preserve">танция насосная над </w:t>
            </w:r>
            <w:proofErr w:type="spellStart"/>
            <w:r w:rsidRPr="00332F0D">
              <w:t>артскважиной</w:t>
            </w:r>
            <w:proofErr w:type="spellEnd"/>
            <w:r w:rsidRPr="00332F0D">
              <w:t xml:space="preserve"> совместно с</w:t>
            </w:r>
            <w:r>
              <w:t>о станцией  водоподготовки воды</w:t>
            </w:r>
            <w:r w:rsidRPr="00332F0D">
              <w:t xml:space="preserve"> </w:t>
            </w:r>
            <w:r w:rsidR="0085401D">
              <w:t xml:space="preserve"> включает в себя:</w:t>
            </w:r>
          </w:p>
          <w:p w:rsidR="0085401D" w:rsidRDefault="0085401D" w:rsidP="0085401D">
            <w:r>
              <w:t></w:t>
            </w:r>
            <w:r>
              <w:tab/>
              <w:t>здание в блочном исполнении с входной площадкой;</w:t>
            </w:r>
          </w:p>
          <w:p w:rsidR="00332F0D" w:rsidRDefault="00332F0D" w:rsidP="00332F0D">
            <w:pPr>
              <w:tabs>
                <w:tab w:val="left" w:pos="838"/>
              </w:tabs>
            </w:pPr>
            <w:r w:rsidRPr="00332F0D">
              <w:t></w:t>
            </w:r>
            <w:r>
              <w:t xml:space="preserve">         систему </w:t>
            </w:r>
            <w:r w:rsidRPr="00332F0D">
              <w:t>водоподготовки воды</w:t>
            </w: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указанных характеристик настоящего ТЗ;  </w:t>
            </w:r>
          </w:p>
          <w:p w:rsidR="0085401D" w:rsidRDefault="0085401D" w:rsidP="00332F0D">
            <w:pPr>
              <w:jc w:val="both"/>
            </w:pPr>
            <w:r>
              <w:t></w:t>
            </w:r>
            <w:r>
              <w:tab/>
              <w:t xml:space="preserve">насосы </w:t>
            </w:r>
            <w:r w:rsidR="00332F0D">
              <w:t>(</w:t>
            </w:r>
            <w:r w:rsidR="00332F0D" w:rsidRPr="00332F0D">
              <w:t>ЭЦВ 5-4-100</w:t>
            </w:r>
            <w:r w:rsidR="00332F0D">
              <w:t xml:space="preserve">) в количестве одной единице) </w:t>
            </w:r>
            <w:r>
              <w:t>и другое технологическое оборудование</w:t>
            </w:r>
            <w:r w:rsidR="00332F0D">
              <w:t xml:space="preserve"> для </w:t>
            </w:r>
            <w:r w:rsidR="00332F0D" w:rsidRPr="00332F0D">
              <w:t>снижения содержания в исходной воде негативных веществ до требований СанПиН с последующим использованием до питьевы</w:t>
            </w:r>
            <w:r w:rsidR="00332F0D">
              <w:t>х нужд и подачи ее потребителям</w:t>
            </w:r>
            <w:r>
              <w:t>;</w:t>
            </w:r>
          </w:p>
          <w:p w:rsidR="0085401D" w:rsidRDefault="0085401D" w:rsidP="0085401D">
            <w:r>
              <w:t></w:t>
            </w:r>
            <w:r>
              <w:tab/>
              <w:t xml:space="preserve">технологические трубопроводы, </w:t>
            </w:r>
          </w:p>
          <w:p w:rsidR="0085401D" w:rsidRDefault="0085401D" w:rsidP="0085401D">
            <w:r>
              <w:t></w:t>
            </w:r>
            <w:r>
              <w:tab/>
              <w:t>энергетическое оборудование;</w:t>
            </w:r>
          </w:p>
          <w:p w:rsidR="0085401D" w:rsidRDefault="0085401D" w:rsidP="0085401D">
            <w:r>
              <w:t></w:t>
            </w:r>
            <w:r>
              <w:tab/>
              <w:t>системы рабочего и аварийного освещения;</w:t>
            </w:r>
          </w:p>
          <w:p w:rsidR="0085401D" w:rsidRDefault="0085401D" w:rsidP="0085401D">
            <w:r>
              <w:t></w:t>
            </w:r>
            <w:r>
              <w:tab/>
              <w:t xml:space="preserve">аппаратуру управления (посты кнопочные, выключатели), </w:t>
            </w:r>
            <w:proofErr w:type="spellStart"/>
            <w:r>
              <w:t>клеммные</w:t>
            </w:r>
            <w:proofErr w:type="spellEnd"/>
            <w:r>
              <w:t xml:space="preserve"> коробки;</w:t>
            </w:r>
          </w:p>
          <w:p w:rsidR="0085401D" w:rsidRDefault="0085401D" w:rsidP="0085401D">
            <w:r>
              <w:t></w:t>
            </w:r>
            <w:r>
              <w:tab/>
              <w:t>кабельная продукция;</w:t>
            </w:r>
          </w:p>
          <w:p w:rsidR="0085401D" w:rsidRDefault="0085401D" w:rsidP="0085401D">
            <w:r>
              <w:t></w:t>
            </w:r>
            <w:r>
              <w:tab/>
              <w:t>приборы и оборудование КИПиА;</w:t>
            </w:r>
          </w:p>
          <w:p w:rsidR="0085401D" w:rsidRDefault="0085401D" w:rsidP="0085401D">
            <w:r>
              <w:t></w:t>
            </w:r>
            <w:r>
              <w:tab/>
              <w:t>локальную станцию управления;</w:t>
            </w:r>
          </w:p>
          <w:p w:rsidR="0085401D" w:rsidRDefault="0085401D" w:rsidP="0085401D">
            <w:r>
              <w:t></w:t>
            </w:r>
            <w:r>
              <w:tab/>
              <w:t>опорные плиты и несущие рамные конструкции;</w:t>
            </w:r>
          </w:p>
          <w:p w:rsidR="0085401D" w:rsidRDefault="0085401D" w:rsidP="0085401D">
            <w:r>
              <w:t></w:t>
            </w:r>
            <w:r>
              <w:tab/>
              <w:t>площадки обслуживания;</w:t>
            </w:r>
          </w:p>
          <w:p w:rsidR="0085401D" w:rsidRDefault="0085401D" w:rsidP="0085401D">
            <w:r>
              <w:t></w:t>
            </w:r>
            <w:r>
              <w:tab/>
              <w:t>вспомогательное оборудование;</w:t>
            </w:r>
          </w:p>
          <w:p w:rsidR="0085401D" w:rsidRDefault="0085401D" w:rsidP="0085401D">
            <w:r>
              <w:t></w:t>
            </w:r>
            <w:r>
              <w:tab/>
              <w:t>грузоподъемное устройство для проведения ремонтных работ;</w:t>
            </w:r>
          </w:p>
          <w:p w:rsidR="0085401D" w:rsidRDefault="0085401D" w:rsidP="0085401D">
            <w:r>
              <w:t></w:t>
            </w:r>
            <w:r>
              <w:tab/>
              <w:t>отопительно-вентиляционное оборудование;</w:t>
            </w:r>
          </w:p>
          <w:p w:rsidR="0085401D" w:rsidRDefault="0085401D" w:rsidP="0085401D">
            <w:r>
              <w:t></w:t>
            </w:r>
            <w:r>
              <w:tab/>
              <w:t>первичные средства пожаротушения;</w:t>
            </w:r>
          </w:p>
          <w:p w:rsidR="0085401D" w:rsidRDefault="0085401D" w:rsidP="0085401D">
            <w:r>
              <w:t></w:t>
            </w:r>
            <w:r>
              <w:tab/>
              <w:t>антикоррозионную защиту;</w:t>
            </w:r>
          </w:p>
          <w:p w:rsidR="0085401D" w:rsidRDefault="0085401D" w:rsidP="0085401D">
            <w:r>
              <w:t></w:t>
            </w:r>
            <w:r>
              <w:tab/>
              <w:t>комплект технической документации, необходимых сертификатов и разрешительных документов.</w:t>
            </w:r>
          </w:p>
          <w:p w:rsidR="0085401D" w:rsidRDefault="0085401D" w:rsidP="0085401D">
            <w:r>
              <w:t xml:space="preserve">Окончательный комплект поставки согласовать с заказчиком. </w:t>
            </w:r>
          </w:p>
          <w:p w:rsidR="00540C9E" w:rsidRPr="00236310" w:rsidRDefault="0085401D" w:rsidP="0085401D">
            <w:r>
              <w:t>После изготовления оборудования предусмотреть на заводе-изготовителе испытания, приближенные к эксплуатационным условиям. Неконтролируемые протечки в процессе испытаний и последующей эксплуатации не допускаются, что должно гарантироваться заводом-изготовителем оборудования.</w:t>
            </w:r>
          </w:p>
        </w:tc>
      </w:tr>
    </w:tbl>
    <w:p w:rsidR="00745856" w:rsidRDefault="00745856" w:rsidP="007C0076">
      <w:pPr>
        <w:ind w:right="-143"/>
      </w:pPr>
    </w:p>
    <w:p w:rsidR="007C0076" w:rsidRDefault="007C0076" w:rsidP="007C0076">
      <w:pPr>
        <w:ind w:right="-143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7F5C67" w:rsidRDefault="007F5C67" w:rsidP="008207B1">
      <w:pPr>
        <w:ind w:right="-143"/>
        <w:jc w:val="right"/>
      </w:pPr>
    </w:p>
    <w:p w:rsidR="008207B1" w:rsidRDefault="00EF23DC" w:rsidP="008207B1">
      <w:pPr>
        <w:ind w:right="-143"/>
        <w:jc w:val="right"/>
      </w:pPr>
      <w:r>
        <w:t>Приложение 4</w:t>
      </w:r>
    </w:p>
    <w:p w:rsidR="008207B1" w:rsidRDefault="00EF23DC" w:rsidP="002331A0">
      <w:pPr>
        <w:jc w:val="center"/>
      </w:pPr>
      <w:r w:rsidRPr="00EF23DC">
        <w:rPr>
          <w:noProof/>
        </w:rPr>
        <w:drawing>
          <wp:anchor distT="0" distB="0" distL="114300" distR="114300" simplePos="0" relativeHeight="251659264" behindDoc="1" locked="0" layoutInCell="1" allowOverlap="1" wp14:anchorId="230D2651" wp14:editId="4A83C7AB">
            <wp:simplePos x="0" y="0"/>
            <wp:positionH relativeFrom="column">
              <wp:posOffset>993775</wp:posOffset>
            </wp:positionH>
            <wp:positionV relativeFrom="paragraph">
              <wp:posOffset>66040</wp:posOffset>
            </wp:positionV>
            <wp:extent cx="3408680" cy="6064250"/>
            <wp:effectExtent l="0" t="0" r="1270" b="0"/>
            <wp:wrapThrough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2331A0">
      <w:pPr>
        <w:jc w:val="center"/>
      </w:pPr>
    </w:p>
    <w:p w:rsidR="00EF23DC" w:rsidRDefault="00EF23DC" w:rsidP="00EF23DC">
      <w:bookmarkStart w:id="2" w:name="_GoBack"/>
      <w:bookmarkEnd w:id="2"/>
    </w:p>
    <w:sectPr w:rsidR="00EF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E0E"/>
    <w:multiLevelType w:val="hybridMultilevel"/>
    <w:tmpl w:val="38A80FEA"/>
    <w:lvl w:ilvl="0" w:tplc="FB9AD5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FE127D3"/>
    <w:multiLevelType w:val="hybridMultilevel"/>
    <w:tmpl w:val="E822E312"/>
    <w:lvl w:ilvl="0" w:tplc="AAE80E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23029"/>
    <w:multiLevelType w:val="hybridMultilevel"/>
    <w:tmpl w:val="693A47E6"/>
    <w:lvl w:ilvl="0" w:tplc="60004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31E26"/>
    <w:multiLevelType w:val="hybridMultilevel"/>
    <w:tmpl w:val="755817DE"/>
    <w:lvl w:ilvl="0" w:tplc="69C08B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70964"/>
    <w:multiLevelType w:val="hybridMultilevel"/>
    <w:tmpl w:val="C6F66D32"/>
    <w:lvl w:ilvl="0" w:tplc="87D67E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E534520"/>
    <w:multiLevelType w:val="hybridMultilevel"/>
    <w:tmpl w:val="4C6E6816"/>
    <w:lvl w:ilvl="0" w:tplc="EB64E0B8">
      <w:start w:val="5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1C82"/>
    <w:multiLevelType w:val="hybridMultilevel"/>
    <w:tmpl w:val="BE707372"/>
    <w:lvl w:ilvl="0" w:tplc="B6880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23B5E"/>
    <w:multiLevelType w:val="hybridMultilevel"/>
    <w:tmpl w:val="D0E45398"/>
    <w:lvl w:ilvl="0" w:tplc="418273A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24F4E8E"/>
    <w:multiLevelType w:val="hybridMultilevel"/>
    <w:tmpl w:val="94DAD544"/>
    <w:lvl w:ilvl="0" w:tplc="87D67E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67400CF"/>
    <w:multiLevelType w:val="hybridMultilevel"/>
    <w:tmpl w:val="80B402A6"/>
    <w:lvl w:ilvl="0" w:tplc="AB92A7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B50063"/>
    <w:multiLevelType w:val="multilevel"/>
    <w:tmpl w:val="00C61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85"/>
    <w:rsid w:val="000B5DCD"/>
    <w:rsid w:val="000C245F"/>
    <w:rsid w:val="000D0DB3"/>
    <w:rsid w:val="001060F2"/>
    <w:rsid w:val="00126E3D"/>
    <w:rsid w:val="00180C57"/>
    <w:rsid w:val="00186899"/>
    <w:rsid w:val="001C3639"/>
    <w:rsid w:val="00217BAB"/>
    <w:rsid w:val="002331A0"/>
    <w:rsid w:val="00236310"/>
    <w:rsid w:val="002D7087"/>
    <w:rsid w:val="00332F0D"/>
    <w:rsid w:val="003D0BB0"/>
    <w:rsid w:val="003D1075"/>
    <w:rsid w:val="003D1EB6"/>
    <w:rsid w:val="00456185"/>
    <w:rsid w:val="004D1D05"/>
    <w:rsid w:val="004D3DC3"/>
    <w:rsid w:val="004E3C89"/>
    <w:rsid w:val="004E49DC"/>
    <w:rsid w:val="004F07F3"/>
    <w:rsid w:val="00501DA9"/>
    <w:rsid w:val="00503262"/>
    <w:rsid w:val="00540C9E"/>
    <w:rsid w:val="0058608A"/>
    <w:rsid w:val="005A175C"/>
    <w:rsid w:val="005A6C24"/>
    <w:rsid w:val="005C5B08"/>
    <w:rsid w:val="005F6EFA"/>
    <w:rsid w:val="006300A4"/>
    <w:rsid w:val="00664F46"/>
    <w:rsid w:val="00705FB2"/>
    <w:rsid w:val="0074342A"/>
    <w:rsid w:val="00745856"/>
    <w:rsid w:val="007503BC"/>
    <w:rsid w:val="00792D1D"/>
    <w:rsid w:val="007A79CB"/>
    <w:rsid w:val="007C0076"/>
    <w:rsid w:val="007E263D"/>
    <w:rsid w:val="007F5C67"/>
    <w:rsid w:val="007F7960"/>
    <w:rsid w:val="00815AD1"/>
    <w:rsid w:val="00817B65"/>
    <w:rsid w:val="008207B1"/>
    <w:rsid w:val="00840508"/>
    <w:rsid w:val="0085401D"/>
    <w:rsid w:val="00876088"/>
    <w:rsid w:val="008F2B65"/>
    <w:rsid w:val="009E10A2"/>
    <w:rsid w:val="00A1786C"/>
    <w:rsid w:val="00A475C9"/>
    <w:rsid w:val="00AA1613"/>
    <w:rsid w:val="00B75452"/>
    <w:rsid w:val="00B7763E"/>
    <w:rsid w:val="00BC1347"/>
    <w:rsid w:val="00BC187F"/>
    <w:rsid w:val="00C13D5E"/>
    <w:rsid w:val="00C15A4F"/>
    <w:rsid w:val="00C330FF"/>
    <w:rsid w:val="00C3565F"/>
    <w:rsid w:val="00CD0F7D"/>
    <w:rsid w:val="00CD3E1A"/>
    <w:rsid w:val="00CE263D"/>
    <w:rsid w:val="00D71190"/>
    <w:rsid w:val="00D9664D"/>
    <w:rsid w:val="00E04E3B"/>
    <w:rsid w:val="00E73C27"/>
    <w:rsid w:val="00EA4019"/>
    <w:rsid w:val="00EF23DC"/>
    <w:rsid w:val="00F261B3"/>
    <w:rsid w:val="00F6063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61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5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92D1D"/>
    <w:rPr>
      <w:color w:val="0000FF"/>
      <w:u w:val="single"/>
    </w:rPr>
  </w:style>
  <w:style w:type="character" w:customStyle="1" w:styleId="FontStyle16">
    <w:name w:val="Font Style16"/>
    <w:uiPriority w:val="99"/>
    <w:rsid w:val="001060F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1060F2"/>
    <w:pPr>
      <w:widowControl w:val="0"/>
      <w:autoSpaceDE w:val="0"/>
      <w:autoSpaceDN w:val="0"/>
      <w:adjustRightInd w:val="0"/>
      <w:spacing w:line="216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1060F2"/>
    <w:pPr>
      <w:widowControl w:val="0"/>
      <w:autoSpaceDE w:val="0"/>
      <w:autoSpaceDN w:val="0"/>
      <w:adjustRightInd w:val="0"/>
      <w:spacing w:line="223" w:lineRule="exact"/>
      <w:ind w:firstLine="569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1060F2"/>
    <w:pPr>
      <w:widowControl w:val="0"/>
      <w:autoSpaceDE w:val="0"/>
      <w:autoSpaceDN w:val="0"/>
      <w:adjustRightInd w:val="0"/>
      <w:spacing w:line="223" w:lineRule="exact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61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5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92D1D"/>
    <w:rPr>
      <w:color w:val="0000FF"/>
      <w:u w:val="single"/>
    </w:rPr>
  </w:style>
  <w:style w:type="character" w:customStyle="1" w:styleId="FontStyle16">
    <w:name w:val="Font Style16"/>
    <w:uiPriority w:val="99"/>
    <w:rsid w:val="001060F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1060F2"/>
    <w:pPr>
      <w:widowControl w:val="0"/>
      <w:autoSpaceDE w:val="0"/>
      <w:autoSpaceDN w:val="0"/>
      <w:adjustRightInd w:val="0"/>
      <w:spacing w:line="216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1060F2"/>
    <w:pPr>
      <w:widowControl w:val="0"/>
      <w:autoSpaceDE w:val="0"/>
      <w:autoSpaceDN w:val="0"/>
      <w:adjustRightInd w:val="0"/>
      <w:spacing w:line="223" w:lineRule="exact"/>
      <w:ind w:firstLine="569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1060F2"/>
    <w:pPr>
      <w:widowControl w:val="0"/>
      <w:autoSpaceDE w:val="0"/>
      <w:autoSpaceDN w:val="0"/>
      <w:adjustRightInd w:val="0"/>
      <w:spacing w:line="223" w:lineRule="exact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Андрей Шевченко</cp:lastModifiedBy>
  <cp:revision>2</cp:revision>
  <dcterms:created xsi:type="dcterms:W3CDTF">2021-07-29T04:52:00Z</dcterms:created>
  <dcterms:modified xsi:type="dcterms:W3CDTF">2021-07-29T04:52:00Z</dcterms:modified>
</cp:coreProperties>
</file>