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278E7" w14:textId="77777777" w:rsidR="001724EC" w:rsidRDefault="001724EC" w:rsidP="001724EC">
      <w:pPr>
        <w:jc w:val="right"/>
        <w:rPr>
          <w:szCs w:val="28"/>
        </w:rPr>
      </w:pPr>
    </w:p>
    <w:p w14:paraId="72880435" w14:textId="77777777" w:rsidR="001724EC" w:rsidRDefault="00FB5956" w:rsidP="001724EC">
      <w:pPr>
        <w:rPr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29D62D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.25pt;margin-top:3.9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2050" DrawAspect="Content" ObjectID="_1803380180" r:id="rId7"/>
        </w:object>
      </w:r>
    </w:p>
    <w:p w14:paraId="67165F3C" w14:textId="29869102" w:rsidR="001724EC" w:rsidRDefault="001724EC" w:rsidP="001724EC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605075E8" w14:textId="77777777" w:rsidR="001724EC" w:rsidRDefault="001724EC" w:rsidP="001724EC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09C841D1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 w:val="96"/>
          <w:szCs w:val="96"/>
        </w:rPr>
      </w:pPr>
    </w:p>
    <w:p w14:paraId="62919E0E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 w:val="96"/>
          <w:szCs w:val="96"/>
        </w:rPr>
      </w:pPr>
    </w:p>
    <w:p w14:paraId="07696298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0F81D15" w14:textId="76F99856" w:rsidR="001724EC" w:rsidRDefault="001724EC" w:rsidP="001724EC">
      <w:pPr>
        <w:ind w:firstLine="284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УЧЕТА</w:t>
      </w:r>
      <w:r w:rsidRPr="004F5F01">
        <w:rPr>
          <w:b/>
          <w:bCs/>
          <w:sz w:val="48"/>
          <w:szCs w:val="48"/>
        </w:rPr>
        <w:t xml:space="preserve"> </w:t>
      </w:r>
    </w:p>
    <w:p w14:paraId="7980B3D9" w14:textId="628860BE" w:rsidR="001724EC" w:rsidRDefault="001724EC" w:rsidP="001724EC">
      <w:pPr>
        <w:ind w:firstLine="284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ПРОТИВОПОЖАРНОГО ИНСТРУКТАЖА</w:t>
      </w:r>
    </w:p>
    <w:p w14:paraId="24F45661" w14:textId="07A65A8C" w:rsidR="00A25FF1" w:rsidRDefault="00A25FF1" w:rsidP="001724EC">
      <w:pPr>
        <w:pBdr>
          <w:bottom w:val="single" w:sz="12" w:space="1" w:color="auto"/>
        </w:pBdr>
        <w:ind w:firstLine="284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НА РАБОЧЕМ МЕСТЕ</w:t>
      </w:r>
    </w:p>
    <w:p w14:paraId="13EC60DD" w14:textId="77777777" w:rsidR="00A25FF1" w:rsidRDefault="00A25FF1" w:rsidP="001724EC">
      <w:pPr>
        <w:pBdr>
          <w:bottom w:val="single" w:sz="12" w:space="1" w:color="auto"/>
        </w:pBdr>
        <w:ind w:firstLine="284"/>
        <w:jc w:val="center"/>
        <w:rPr>
          <w:b/>
          <w:bCs/>
          <w:sz w:val="48"/>
          <w:szCs w:val="48"/>
        </w:rPr>
      </w:pPr>
    </w:p>
    <w:p w14:paraId="5C74313B" w14:textId="5C38BC8D" w:rsidR="00A25FF1" w:rsidRPr="00A25FF1" w:rsidRDefault="00A25FF1" w:rsidP="001724EC">
      <w:pPr>
        <w:ind w:firstLine="284"/>
        <w:jc w:val="center"/>
        <w:rPr>
          <w:sz w:val="48"/>
          <w:szCs w:val="48"/>
          <w:vertAlign w:val="superscript"/>
        </w:rPr>
      </w:pPr>
      <w:r w:rsidRPr="00A25FF1">
        <w:rPr>
          <w:sz w:val="48"/>
          <w:szCs w:val="48"/>
          <w:vertAlign w:val="superscript"/>
        </w:rPr>
        <w:t>(НАИМЕНОВАНИЕ УЧАСТКА, СЛУЖБЫ)</w:t>
      </w:r>
    </w:p>
    <w:p w14:paraId="59808A89" w14:textId="77777777" w:rsidR="001724EC" w:rsidRDefault="001724EC" w:rsidP="001724EC">
      <w:pPr>
        <w:jc w:val="center"/>
      </w:pPr>
      <w:r>
        <w:rPr>
          <w:b/>
          <w:sz w:val="36"/>
          <w:szCs w:val="36"/>
        </w:rPr>
        <w:t xml:space="preserve"> </w:t>
      </w:r>
    </w:p>
    <w:p w14:paraId="334F899B" w14:textId="77777777" w:rsidR="001724EC" w:rsidRDefault="001724EC" w:rsidP="001724EC">
      <w:pPr>
        <w:jc w:val="right"/>
      </w:pPr>
    </w:p>
    <w:p w14:paraId="0D5EBF00" w14:textId="77777777" w:rsidR="001724EC" w:rsidRDefault="001724EC" w:rsidP="001724EC">
      <w:pPr>
        <w:jc w:val="right"/>
      </w:pPr>
    </w:p>
    <w:p w14:paraId="06D2259D" w14:textId="77777777" w:rsidR="001724EC" w:rsidRDefault="001724EC" w:rsidP="001724EC">
      <w:pPr>
        <w:jc w:val="right"/>
      </w:pPr>
    </w:p>
    <w:p w14:paraId="700DAEFC" w14:textId="77777777" w:rsidR="001724EC" w:rsidRDefault="001724EC" w:rsidP="001724EC">
      <w:pPr>
        <w:jc w:val="right"/>
      </w:pPr>
    </w:p>
    <w:p w14:paraId="57FEE6DE" w14:textId="77777777" w:rsidR="001724EC" w:rsidRDefault="001724EC" w:rsidP="001724EC">
      <w:pPr>
        <w:jc w:val="right"/>
      </w:pPr>
      <w:r>
        <w:t>Начат_________________20____г.</w:t>
      </w:r>
    </w:p>
    <w:p w14:paraId="68EBAD16" w14:textId="77777777" w:rsidR="001724EC" w:rsidRDefault="001724EC" w:rsidP="001724EC">
      <w:pPr>
        <w:jc w:val="right"/>
      </w:pPr>
    </w:p>
    <w:p w14:paraId="345C080C" w14:textId="77777777" w:rsidR="001724EC" w:rsidRDefault="001724EC" w:rsidP="001724EC">
      <w:pPr>
        <w:jc w:val="right"/>
      </w:pPr>
      <w:r>
        <w:t>Окончен_______________20____г.</w:t>
      </w:r>
    </w:p>
    <w:p w14:paraId="49AD9325" w14:textId="77777777" w:rsidR="001724EC" w:rsidRDefault="001724EC" w:rsidP="001724EC">
      <w:pPr>
        <w:jc w:val="right"/>
      </w:pPr>
    </w:p>
    <w:p w14:paraId="4DC5A7B1" w14:textId="77777777" w:rsidR="001724EC" w:rsidRDefault="001724EC" w:rsidP="001724EC">
      <w:pPr>
        <w:spacing w:before="60" w:after="60"/>
        <w:ind w:firstLine="709"/>
        <w:jc w:val="center"/>
        <w:rPr>
          <w:rFonts w:ascii="Calibri" w:hAnsi="Calibri" w:cs="Calibri"/>
          <w:b/>
          <w:i/>
          <w:color w:val="000000"/>
          <w:sz w:val="32"/>
          <w:szCs w:val="32"/>
        </w:rPr>
      </w:pPr>
    </w:p>
    <w:p w14:paraId="22F2C3AA" w14:textId="595A7760" w:rsidR="001724EC" w:rsidRDefault="001724EC" w:rsidP="001724EC">
      <w:pPr>
        <w:spacing w:before="60" w:after="60"/>
        <w:ind w:firstLine="709"/>
        <w:jc w:val="center"/>
        <w:rPr>
          <w:rFonts w:ascii="Calibri" w:hAnsi="Calibri" w:cs="Calibri"/>
          <w:b/>
          <w:i/>
          <w:color w:val="000000"/>
          <w:sz w:val="32"/>
          <w:szCs w:val="32"/>
        </w:rPr>
      </w:pPr>
      <w:r>
        <w:rPr>
          <w:rFonts w:ascii="Calibri" w:hAnsi="Calibri" w:cs="Calibri"/>
          <w:b/>
          <w:i/>
          <w:color w:val="000000"/>
          <w:sz w:val="32"/>
          <w:szCs w:val="32"/>
        </w:rPr>
        <w:lastRenderedPageBreak/>
        <w:t>Выписка из нормативно-правовых актов</w:t>
      </w:r>
    </w:p>
    <w:p w14:paraId="4F5E87FA" w14:textId="3BA9C5E4" w:rsidR="001724EC" w:rsidRDefault="001724EC" w:rsidP="00FB5956">
      <w:pPr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1. Ответственность за организацию и своевременность обучения лиц, осуществляющих трудовую или служебную деятельность в органах государственной власти, органах местного самоуправления, общественных объединениях, юридических лицах (далее - организации), мерам пожарной безопасности по программам противопожарного инструктажа (далее - обучение) несет руководитель организации.</w:t>
      </w:r>
    </w:p>
    <w:p w14:paraId="4B7D4E0B" w14:textId="7B1992D1" w:rsidR="001724EC" w:rsidRDefault="001724EC" w:rsidP="00FB5956">
      <w:pPr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3. Обучение должно содержать теоретическую и практическую части и может осуществляться как единовременно и непрерывно, так и поэтапно (дискретно).</w:t>
      </w:r>
    </w:p>
    <w:p w14:paraId="12992984" w14:textId="1F2257B6" w:rsidR="001724EC" w:rsidRDefault="001724EC" w:rsidP="00FB5956">
      <w:pPr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9. Противопожарные инструктажи проводятся по программам, разработанным лицами, указанными в </w:t>
      </w:r>
      <w:hyperlink r:id="rId8" w:anchor="7DM0KC" w:history="1">
        <w:r>
          <w:rPr>
            <w:rStyle w:val="a3"/>
            <w:color w:val="444444"/>
            <w:shd w:val="clear" w:color="auto" w:fill="FFFFFF"/>
          </w:rPr>
          <w:t>пунктах 7</w:t>
        </w:r>
      </w:hyperlink>
      <w:r>
        <w:rPr>
          <w:rFonts w:ascii="Arial" w:hAnsi="Arial" w:cs="Arial"/>
          <w:color w:val="444444"/>
          <w:shd w:val="clear" w:color="auto" w:fill="FFFFFF"/>
        </w:rPr>
        <w:t> и </w:t>
      </w:r>
      <w:hyperlink r:id="rId9" w:anchor="7DA0K5" w:history="1">
        <w:r>
          <w:rPr>
            <w:rStyle w:val="a3"/>
            <w:color w:val="444444"/>
            <w:shd w:val="clear" w:color="auto" w:fill="FFFFFF"/>
          </w:rPr>
          <w:t>8 настоящего Порядка</w:t>
        </w:r>
      </w:hyperlink>
      <w:r>
        <w:rPr>
          <w:rFonts w:ascii="Arial" w:hAnsi="Arial" w:cs="Arial"/>
          <w:color w:val="444444"/>
          <w:shd w:val="clear" w:color="auto" w:fill="FFFFFF"/>
        </w:rPr>
        <w:t>, и утвержденным руководителем организации или лицами, назначенными руководителем организации ответственными за обеспечение пожарной безопасности на объектах защиты в организации.</w:t>
      </w:r>
    </w:p>
    <w:p w14:paraId="3FCCB803" w14:textId="038B974B" w:rsidR="001C4697" w:rsidRPr="001C4697" w:rsidRDefault="001724EC" w:rsidP="00FB5956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11. По видам и срокам проведения противопожарные инструктажи подразделяются на:</w:t>
      </w:r>
      <w:r>
        <w:rPr>
          <w:rFonts w:ascii="Arial" w:hAnsi="Arial" w:cs="Arial"/>
          <w:color w:val="444444"/>
          <w:shd w:val="clear" w:color="auto" w:fill="FFFFFF"/>
        </w:rPr>
        <w:br/>
        <w:t>вводный;</w:t>
      </w:r>
      <w:r>
        <w:rPr>
          <w:rFonts w:ascii="Arial" w:hAnsi="Arial" w:cs="Arial"/>
          <w:color w:val="444444"/>
          <w:shd w:val="clear" w:color="auto" w:fill="FFFFFF"/>
        </w:rPr>
        <w:br/>
        <w:t>первичный на рабочем месте;</w:t>
      </w:r>
      <w:r>
        <w:rPr>
          <w:rFonts w:ascii="Arial" w:hAnsi="Arial" w:cs="Arial"/>
          <w:color w:val="444444"/>
          <w:shd w:val="clear" w:color="auto" w:fill="FFFFFF"/>
        </w:rPr>
        <w:br/>
        <w:t>повторный;</w:t>
      </w:r>
      <w:r>
        <w:rPr>
          <w:rFonts w:ascii="Arial" w:hAnsi="Arial" w:cs="Arial"/>
          <w:color w:val="444444"/>
          <w:shd w:val="clear" w:color="auto" w:fill="FFFFFF"/>
        </w:rPr>
        <w:br/>
        <w:t>внеплановый;</w:t>
      </w:r>
      <w:r>
        <w:rPr>
          <w:rFonts w:ascii="Arial" w:hAnsi="Arial" w:cs="Arial"/>
          <w:color w:val="444444"/>
          <w:shd w:val="clear" w:color="auto" w:fill="FFFFFF"/>
        </w:rPr>
        <w:br/>
        <w:t>целевой.</w:t>
      </w:r>
    </w:p>
    <w:p w14:paraId="49D84181" w14:textId="77777777" w:rsidR="00FB5956" w:rsidRDefault="001C4697" w:rsidP="00FB595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444444"/>
          <w:shd w:val="clear" w:color="auto" w:fill="FFFFFF"/>
        </w:rPr>
      </w:pPr>
      <w:r w:rsidRPr="001C4697">
        <w:rPr>
          <w:rFonts w:ascii="Arial" w:hAnsi="Arial" w:cs="Arial"/>
          <w:color w:val="444444"/>
          <w:shd w:val="clear" w:color="auto" w:fill="FFFFFF"/>
        </w:rPr>
        <w:t>14</w:t>
      </w:r>
      <w:r>
        <w:rPr>
          <w:rFonts w:ascii="Arial" w:hAnsi="Arial" w:cs="Arial"/>
          <w:color w:val="444444"/>
          <w:shd w:val="clear" w:color="auto" w:fill="FFFFFF"/>
        </w:rPr>
        <w:t xml:space="preserve">. </w:t>
      </w:r>
      <w:r w:rsidRPr="001C4697">
        <w:rPr>
          <w:rFonts w:ascii="Arial" w:hAnsi="Arial" w:cs="Arial"/>
          <w:color w:val="444444"/>
          <w:shd w:val="clear" w:color="auto" w:fill="FFFFFF"/>
        </w:rPr>
        <w:t>Первичный противопожарный инструктаж на рабочем месте проводится непосредственно на рабочем месте до начала трудовой (служебной) деятельности в организации:</w:t>
      </w:r>
    </w:p>
    <w:p w14:paraId="1619C7EE" w14:textId="756BF664" w:rsidR="001C4697" w:rsidRDefault="001C4697" w:rsidP="00FB595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-</w:t>
      </w:r>
      <w:r w:rsidRPr="001C4697">
        <w:rPr>
          <w:rFonts w:ascii="Arial" w:hAnsi="Arial" w:cs="Arial"/>
          <w:color w:val="444444"/>
          <w:shd w:val="clear" w:color="auto" w:fill="FFFFFF"/>
        </w:rPr>
        <w:t>со всеми лицами, прошедшими вводный противопожарный инструктаж;</w:t>
      </w:r>
    </w:p>
    <w:p w14:paraId="5151F929" w14:textId="18EB4DF1" w:rsidR="001724EC" w:rsidRDefault="001C4697" w:rsidP="00FB595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-</w:t>
      </w:r>
      <w:r w:rsidRPr="001C4697">
        <w:rPr>
          <w:rFonts w:ascii="Arial" w:hAnsi="Arial" w:cs="Arial"/>
          <w:color w:val="444444"/>
          <w:shd w:val="clear" w:color="auto" w:fill="FFFFFF"/>
        </w:rPr>
        <w:t>с лицами, переведенными из другого подразделения, либо с лицами, которым поручается выполнение новой для них трудовой (служебной) деятельности в организации.</w:t>
      </w:r>
    </w:p>
    <w:p w14:paraId="677EEA45" w14:textId="4DCECFF1" w:rsidR="001724EC" w:rsidRDefault="001724EC" w:rsidP="00FB5956">
      <w:pPr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 xml:space="preserve">16. </w:t>
      </w:r>
      <w:r w:rsidR="00FB5956" w:rsidRPr="00FB5956">
        <w:rPr>
          <w:rFonts w:ascii="Arial" w:hAnsi="Arial" w:cs="Arial"/>
          <w:color w:val="444444"/>
          <w:shd w:val="clear" w:color="auto" w:fill="FFFFFF"/>
        </w:rPr>
        <w:t xml:space="preserve">Повторный противопожарный инструктаж проводится не реже 1 раза в полгода со всеми лицами, осуществляющими трудовую или служебную деятельность на объектах защиты, предназначенных для проживания или временного пребывания 50 и более человек одновременно, объектах защиты, отнесенных к категориям повышенной </w:t>
      </w:r>
      <w:proofErr w:type="spellStart"/>
      <w:r w:rsidR="00FB5956" w:rsidRPr="00FB5956">
        <w:rPr>
          <w:rFonts w:ascii="Arial" w:hAnsi="Arial" w:cs="Arial"/>
          <w:color w:val="444444"/>
          <w:shd w:val="clear" w:color="auto" w:fill="FFFFFF"/>
        </w:rPr>
        <w:t>взрывопожароопасности</w:t>
      </w:r>
      <w:proofErr w:type="spellEnd"/>
      <w:r w:rsidR="00FB5956" w:rsidRPr="00FB5956">
        <w:rPr>
          <w:rFonts w:ascii="Arial" w:hAnsi="Arial" w:cs="Arial"/>
          <w:color w:val="444444"/>
          <w:shd w:val="clear" w:color="auto" w:fill="FFFFFF"/>
        </w:rPr>
        <w:t xml:space="preserve">, </w:t>
      </w:r>
      <w:proofErr w:type="spellStart"/>
      <w:r w:rsidR="00FB5956" w:rsidRPr="00FB5956">
        <w:rPr>
          <w:rFonts w:ascii="Arial" w:hAnsi="Arial" w:cs="Arial"/>
          <w:color w:val="444444"/>
          <w:shd w:val="clear" w:color="auto" w:fill="FFFFFF"/>
        </w:rPr>
        <w:t>взрывопожароопасности</w:t>
      </w:r>
      <w:proofErr w:type="spellEnd"/>
      <w:r w:rsidR="00FB5956" w:rsidRPr="00FB5956">
        <w:rPr>
          <w:rFonts w:ascii="Arial" w:hAnsi="Arial" w:cs="Arial"/>
          <w:color w:val="444444"/>
          <w:shd w:val="clear" w:color="auto" w:fill="FFFFFF"/>
        </w:rPr>
        <w:t>, пожароопасности, а также с лицами, осуществляющими трудовую (служебную) деятельность в организации, связанную с охраной (защитой) объектов и (или) имущества организации.</w:t>
      </w:r>
    </w:p>
    <w:p w14:paraId="0AEE41F8" w14:textId="77777777" w:rsidR="001724EC" w:rsidRDefault="001724EC" w:rsidP="001724EC">
      <w:pPr>
        <w:ind w:firstLine="709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>20. Проведение противопожарных инструктажей завершается проверкой соответствия знаний и умений лиц, осуществляющих трудовую или служебную деятельность в организации, требованиям, предусмотренным программами противопожарного инструктажа, которую осуществляет лицо, проводившее противопожарный инструктаж, либо иное лицо, назначенное руководителем организации, в соответствии с порядком обучения лиц мерам пожарной безопасности.</w:t>
      </w:r>
    </w:p>
    <w:p w14:paraId="716585F5" w14:textId="77777777" w:rsidR="001724EC" w:rsidRDefault="001724EC" w:rsidP="001724EC">
      <w:pPr>
        <w:ind w:firstLine="720"/>
        <w:jc w:val="both"/>
        <w:rPr>
          <w:rFonts w:ascii="Calibri" w:hAnsi="Calibri" w:cs="Calibri"/>
          <w:b/>
          <w:bCs/>
          <w:iCs/>
        </w:rPr>
      </w:pPr>
      <w:r>
        <w:rPr>
          <w:rFonts w:ascii="Calibri" w:hAnsi="Calibri" w:cs="Calibri"/>
          <w:b/>
          <w:bCs/>
          <w:iCs/>
        </w:rPr>
        <w:t xml:space="preserve"> (Приказ Министерство РФ по делам гражданской обороны, чрезвычайным ситуациям и ликвидации последствий стихийных бедствий от 18 ноября 2021 года N 806 “Об определении Порядка, видов, сроков обучения лиц, осуществляющих трудовую или служебную деятельность в организациях, по программам противопожарного инструктажа, требований к содержанию указанных программ и категорий лиц, проходящих обучение по дополнительным профессиональным программам в области пожарной безопасности”).</w:t>
      </w:r>
    </w:p>
    <w:p w14:paraId="5ED0F10D" w14:textId="4EA37640" w:rsidR="001724EC" w:rsidRDefault="001724EC" w:rsidP="001724EC">
      <w:pPr>
        <w:ind w:firstLine="720"/>
        <w:jc w:val="both"/>
        <w:rPr>
          <w:rFonts w:ascii="Calibri" w:hAnsi="Calibri" w:cs="Calibri"/>
        </w:rPr>
      </w:pPr>
    </w:p>
    <w:p w14:paraId="6FFC4319" w14:textId="68C72349" w:rsidR="001724EC" w:rsidRDefault="001724EC" w:rsidP="001724EC">
      <w:pPr>
        <w:ind w:firstLine="720"/>
        <w:jc w:val="both"/>
        <w:rPr>
          <w:rFonts w:ascii="Calibri" w:hAnsi="Calibri" w:cs="Calibri"/>
        </w:rPr>
      </w:pPr>
    </w:p>
    <w:p w14:paraId="3AA186C1" w14:textId="61BB6EC8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p w14:paraId="6E95D23C" w14:textId="04AF3100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p w14:paraId="4FF78160" w14:textId="77777777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tbl>
      <w:tblPr>
        <w:tblpPr w:leftFromText="180" w:rightFromText="180" w:vertAnchor="text" w:horzAnchor="margin" w:tblpX="279" w:tblpY="147"/>
        <w:tblW w:w="51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1"/>
        <w:gridCol w:w="1598"/>
        <w:gridCol w:w="2904"/>
        <w:gridCol w:w="3019"/>
        <w:gridCol w:w="3289"/>
        <w:gridCol w:w="1493"/>
        <w:gridCol w:w="1406"/>
      </w:tblGrid>
      <w:tr w:rsidR="001724EC" w14:paraId="59C066B8" w14:textId="77777777" w:rsidTr="00FB5956">
        <w:trPr>
          <w:trHeight w:val="564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30A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Дата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60F04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проводимого инструктажа</w:t>
            </w:r>
          </w:p>
        </w:tc>
        <w:tc>
          <w:tcPr>
            <w:tcW w:w="19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D1C4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Инструктируемый</w:t>
            </w:r>
          </w:p>
        </w:tc>
        <w:tc>
          <w:tcPr>
            <w:tcW w:w="2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E005A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Теоретическая и практическая часть</w:t>
            </w:r>
          </w:p>
        </w:tc>
      </w:tr>
      <w:tr w:rsidR="001724EC" w14:paraId="6407ACEA" w14:textId="77777777" w:rsidTr="00FB5956">
        <w:trPr>
          <w:trHeight w:val="268"/>
        </w:trPr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17B82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BFBD4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8A012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Фамилия, Имя, Отчество </w:t>
            </w:r>
          </w:p>
          <w:p w14:paraId="4E81CB3F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(при наличии)</w:t>
            </w:r>
          </w:p>
        </w:tc>
        <w:tc>
          <w:tcPr>
            <w:tcW w:w="10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F21A0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Профессия, должность</w:t>
            </w:r>
          </w:p>
        </w:tc>
        <w:tc>
          <w:tcPr>
            <w:tcW w:w="10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9ECFD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Фамилия, инициалы</w:t>
            </w:r>
            <w:r>
              <w:rPr>
                <w:rFonts w:ascii="Calibri" w:hAnsi="Calibri" w:cs="Calibri"/>
              </w:rPr>
              <w:br/>
              <w:t>инструктирующего,</w:t>
            </w:r>
            <w:r>
              <w:rPr>
                <w:rFonts w:ascii="Calibri" w:hAnsi="Calibri" w:cs="Calibri"/>
              </w:rPr>
              <w:br/>
              <w:t>номер документа</w:t>
            </w:r>
            <w:r>
              <w:rPr>
                <w:rFonts w:ascii="Calibri" w:hAnsi="Calibri" w:cs="Calibri"/>
              </w:rPr>
              <w:br/>
              <w:t>об обучении пожарной безопасности</w:t>
            </w:r>
          </w:p>
        </w:tc>
        <w:tc>
          <w:tcPr>
            <w:tcW w:w="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57509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Подпись</w:t>
            </w:r>
          </w:p>
        </w:tc>
      </w:tr>
      <w:tr w:rsidR="001724EC" w14:paraId="35C088FB" w14:textId="77777777" w:rsidTr="00FB5956">
        <w:trPr>
          <w:trHeight w:val="941"/>
        </w:trPr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17443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5ED5B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9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8CAE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10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DA23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12BEA" w14:textId="77777777" w:rsidR="001724EC" w:rsidRDefault="001724EC" w:rsidP="00930D00">
            <w:pPr>
              <w:rPr>
                <w:rFonts w:ascii="Calibri" w:hAnsi="Calibri" w:cs="Calibri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E5026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инструкти</w:t>
            </w:r>
            <w:proofErr w:type="spellEnd"/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br/>
            </w:r>
            <w:proofErr w:type="spellStart"/>
            <w:r>
              <w:rPr>
                <w:rFonts w:ascii="Calibri" w:hAnsi="Calibri" w:cs="Calibri"/>
              </w:rPr>
              <w:t>рующего</w:t>
            </w:r>
            <w:proofErr w:type="spellEnd"/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5BF16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инструкти</w:t>
            </w:r>
            <w:proofErr w:type="spellEnd"/>
            <w:r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br/>
            </w:r>
            <w:proofErr w:type="spellStart"/>
            <w:r>
              <w:rPr>
                <w:rFonts w:ascii="Calibri" w:hAnsi="Calibri" w:cs="Calibri"/>
              </w:rPr>
              <w:t>руемого</w:t>
            </w:r>
            <w:proofErr w:type="spellEnd"/>
          </w:p>
        </w:tc>
      </w:tr>
      <w:tr w:rsidR="001724EC" w14:paraId="3D5B55FA" w14:textId="77777777" w:rsidTr="00FB5956">
        <w:trPr>
          <w:trHeight w:val="283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E4CB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10E5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DF02B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36656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99403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FF55B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47BB9" w14:textId="77777777" w:rsidR="001724EC" w:rsidRDefault="001724EC" w:rsidP="00930D0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1724EC" w14:paraId="0DE34E79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E35A1" w14:textId="1D5CA63B" w:rsidR="001724EC" w:rsidRPr="000F759A" w:rsidRDefault="000F759A" w:rsidP="00930D00">
            <w:pPr>
              <w:rPr>
                <w:rFonts w:ascii="Calibri" w:hAnsi="Calibri" w:cs="Calibri"/>
                <w:i/>
                <w:lang w:val="en-US"/>
              </w:rPr>
            </w:pPr>
            <w:r>
              <w:rPr>
                <w:rFonts w:ascii="Calibri" w:hAnsi="Calibri" w:cs="Calibri"/>
                <w:i/>
                <w:lang w:val="en-US"/>
              </w:rPr>
              <w:t>19</w:t>
            </w:r>
            <w:r>
              <w:rPr>
                <w:rFonts w:ascii="Calibri" w:hAnsi="Calibri" w:cs="Calibri"/>
                <w:i/>
              </w:rPr>
              <w:t>.</w:t>
            </w:r>
            <w:r>
              <w:rPr>
                <w:rFonts w:ascii="Calibri" w:hAnsi="Calibri" w:cs="Calibri"/>
                <w:i/>
                <w:lang w:val="en-US"/>
              </w:rPr>
              <w:t>05</w:t>
            </w:r>
            <w:r>
              <w:rPr>
                <w:rFonts w:ascii="Calibri" w:hAnsi="Calibri" w:cs="Calibri"/>
                <w:i/>
              </w:rPr>
              <w:t>.</w:t>
            </w:r>
            <w:r>
              <w:rPr>
                <w:rFonts w:ascii="Calibri" w:hAnsi="Calibri" w:cs="Calibri"/>
                <w:i/>
                <w:lang w:val="en-US"/>
              </w:rPr>
              <w:t>2022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C4B35" w14:textId="111307B1" w:rsidR="001724EC" w:rsidRPr="000F759A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Повторный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3BD8" w14:textId="0FBB36D4" w:rsidR="001724EC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Иванов Иван Иванович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B698" w14:textId="7FED259A" w:rsidR="001724EC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Оператор товарный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B8FD" w14:textId="4E6E3489" w:rsidR="001724EC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Газизов Т.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49E9A" w14:textId="1F417EA9" w:rsidR="001724EC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Газизов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2183" w14:textId="1F373BD7" w:rsidR="001724EC" w:rsidRDefault="000F759A" w:rsidP="00930D00">
            <w:pPr>
              <w:rPr>
                <w:rFonts w:ascii="Calibri" w:hAnsi="Calibri" w:cs="Calibri"/>
                <w:i/>
              </w:rPr>
            </w:pPr>
            <w:r>
              <w:rPr>
                <w:rFonts w:ascii="Calibri" w:hAnsi="Calibri" w:cs="Calibri"/>
                <w:i/>
              </w:rPr>
              <w:t>Иванов</w:t>
            </w:r>
          </w:p>
        </w:tc>
      </w:tr>
      <w:tr w:rsidR="001724EC" w14:paraId="7CBDA2D1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2E0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AE7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143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C3D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DF3C" w14:textId="1D4A1A3D" w:rsidR="001724EC" w:rsidRDefault="000F759A" w:rsidP="00930D00">
            <w:pPr>
              <w:rPr>
                <w:rFonts w:ascii="Calibri" w:hAnsi="Calibri" w:cs="Calibri"/>
                <w:i/>
              </w:rPr>
            </w:pPr>
            <w:r w:rsidRPr="000F759A">
              <w:rPr>
                <w:rFonts w:ascii="Calibri" w:hAnsi="Calibri" w:cs="Calibri"/>
                <w:i/>
                <w:color w:val="FF0000"/>
              </w:rPr>
              <w:t xml:space="preserve">Указать номер удостоверения 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D47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BB7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4D48AE7F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2829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66AA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6353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7194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A67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E04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E519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3470FAE5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23BD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EF3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E31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133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2F6C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D7B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D033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54A0AC8E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F9BB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A734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ED1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639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DE9C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35EF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FCF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47DD5CCC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8A42B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E4A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DA9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0A90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46C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1AE6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BD5FF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709CA226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CAB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8DD6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4B0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D776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F78DA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BF26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1D8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0F198A23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916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F12A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9C7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802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94D19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B37C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A28C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10BD9DA9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19CF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C03C6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9A2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67C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9A6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3C5A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1C9D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089C86FB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6222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102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349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B346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742CB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2FB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CA9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640D1AA2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FE4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20BB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333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8BC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E6AB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D52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4D5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22F78431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A7B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71DA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8A220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06A0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AEE3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2F9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170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36BAA3F2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04D3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CEE6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E028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DEF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8A1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848D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056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7F47C388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F803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599D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C3A9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0C54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B581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D82C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06AB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20E6EB42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2A7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A42EF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BDD8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DB3FA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E539D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9E0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47D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1724EC" w14:paraId="3BBA41C3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08E2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B1FF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730E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BDD3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040C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0345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4FC7" w14:textId="77777777" w:rsidR="001724EC" w:rsidRDefault="001724EC" w:rsidP="00930D00">
            <w:pPr>
              <w:rPr>
                <w:rFonts w:ascii="Calibri" w:hAnsi="Calibri" w:cs="Calibri"/>
                <w:i/>
              </w:rPr>
            </w:pPr>
          </w:p>
        </w:tc>
      </w:tr>
      <w:tr w:rsidR="00930D00" w14:paraId="68E060AB" w14:textId="77777777" w:rsidTr="00FB5956">
        <w:trPr>
          <w:trHeight w:val="437"/>
        </w:trPr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C6E7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202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DDB9D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FDA9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1E54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63F81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EFA2C" w14:textId="77777777" w:rsidR="00930D00" w:rsidRDefault="00930D00" w:rsidP="00930D00">
            <w:pPr>
              <w:rPr>
                <w:rFonts w:ascii="Calibri" w:hAnsi="Calibri" w:cs="Calibri"/>
                <w:i/>
              </w:rPr>
            </w:pPr>
          </w:p>
        </w:tc>
      </w:tr>
    </w:tbl>
    <w:p w14:paraId="180D77AA" w14:textId="77777777" w:rsidR="00930D00" w:rsidRDefault="00930D00" w:rsidP="00FB5956"/>
    <w:sectPr w:rsidR="00930D00" w:rsidSect="00930D00">
      <w:pgSz w:w="16838" w:h="11906" w:orient="landscape"/>
      <w:pgMar w:top="568" w:right="1134" w:bottom="426" w:left="1134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5A1426" w14:textId="77777777" w:rsidR="0048149D" w:rsidRDefault="0048149D" w:rsidP="00930D00">
      <w:r>
        <w:separator/>
      </w:r>
    </w:p>
  </w:endnote>
  <w:endnote w:type="continuationSeparator" w:id="0">
    <w:p w14:paraId="6FE1C903" w14:textId="77777777" w:rsidR="0048149D" w:rsidRDefault="0048149D" w:rsidP="0093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584E5" w14:textId="77777777" w:rsidR="0048149D" w:rsidRDefault="0048149D" w:rsidP="00930D00">
      <w:r>
        <w:separator/>
      </w:r>
    </w:p>
  </w:footnote>
  <w:footnote w:type="continuationSeparator" w:id="0">
    <w:p w14:paraId="3F2566CE" w14:textId="77777777" w:rsidR="0048149D" w:rsidRDefault="0048149D" w:rsidP="0093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EC"/>
    <w:rsid w:val="000F759A"/>
    <w:rsid w:val="001724EC"/>
    <w:rsid w:val="001923F9"/>
    <w:rsid w:val="001A7C4E"/>
    <w:rsid w:val="001C4697"/>
    <w:rsid w:val="0046727B"/>
    <w:rsid w:val="0048149D"/>
    <w:rsid w:val="006C4B3F"/>
    <w:rsid w:val="00734D15"/>
    <w:rsid w:val="00753EB6"/>
    <w:rsid w:val="007A7FAD"/>
    <w:rsid w:val="00930D00"/>
    <w:rsid w:val="00A25FF1"/>
    <w:rsid w:val="00D1131A"/>
    <w:rsid w:val="00FB1DF9"/>
    <w:rsid w:val="00FB5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185460F"/>
  <w15:chartTrackingRefBased/>
  <w15:docId w15:val="{8C58C460-A935-4C49-B33C-7247B7F2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4EC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1724E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30D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0D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30D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0D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0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122310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727122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8</cp:revision>
  <cp:lastPrinted>2022-03-01T05:46:00Z</cp:lastPrinted>
  <dcterms:created xsi:type="dcterms:W3CDTF">2022-02-28T04:25:00Z</dcterms:created>
  <dcterms:modified xsi:type="dcterms:W3CDTF">2025-03-13T09:10:00Z</dcterms:modified>
</cp:coreProperties>
</file>